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90" w:lineRule="exact"/>
        <w:textAlignment w:val="auto"/>
        <w:rPr>
          <w:rFonts w:hint="default" w:ascii="Times New Roman" w:hAnsi="Times New Roman" w:eastAsia="方正黑体_GBK" w:cs="Times New Roman"/>
          <w:kern w:val="0"/>
          <w:sz w:val="32"/>
          <w:szCs w:val="32"/>
        </w:rPr>
      </w:pPr>
      <w:bookmarkStart w:id="0" w:name="_GoBack"/>
      <w:bookmarkEnd w:id="0"/>
      <w:r>
        <w:rPr>
          <w:rFonts w:hint="default" w:ascii="Times New Roman" w:hAnsi="Times New Roman" w:eastAsia="方正黑体_GBK" w:cs="Times New Roman"/>
          <w:kern w:val="0"/>
          <w:sz w:val="32"/>
          <w:szCs w:val="32"/>
        </w:rPr>
        <w:t>附件</w:t>
      </w:r>
    </w:p>
    <w:p>
      <w:pPr>
        <w:keepNext w:val="0"/>
        <w:keepLines w:val="0"/>
        <w:pageBreakBefore w:val="0"/>
        <w:widowControl/>
        <w:kinsoku/>
        <w:wordWrap/>
        <w:overflowPunct/>
        <w:topLinePunct w:val="0"/>
        <w:autoSpaceDE/>
        <w:autoSpaceDN/>
        <w:bidi w:val="0"/>
        <w:adjustRightInd/>
        <w:snapToGrid/>
        <w:spacing w:after="157" w:afterLines="50" w:line="490" w:lineRule="exact"/>
        <w:jc w:val="center"/>
        <w:textAlignment w:val="auto"/>
        <w:rPr>
          <w:rFonts w:hint="default" w:ascii="Times New Roman" w:hAnsi="Times New Roman" w:eastAsia="方正小标宋_GBK" w:cs="Times New Roman"/>
          <w:b w:val="0"/>
          <w:bCs/>
          <w:color w:val="000000"/>
          <w:sz w:val="44"/>
          <w:szCs w:val="44"/>
        </w:rPr>
      </w:pPr>
      <w:r>
        <w:rPr>
          <w:rFonts w:hint="default" w:ascii="Times New Roman" w:hAnsi="Times New Roman" w:eastAsia="方正小标宋_GBK" w:cs="Times New Roman"/>
          <w:b w:val="0"/>
          <w:bCs/>
          <w:color w:val="000000"/>
          <w:sz w:val="44"/>
          <w:szCs w:val="44"/>
        </w:rPr>
        <w:t>重点任务分工</w:t>
      </w:r>
    </w:p>
    <w:tbl>
      <w:tblPr>
        <w:tblStyle w:val="8"/>
        <w:tblW w:w="93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3" w:type="dxa"/>
          <w:bottom w:w="0" w:type="dxa"/>
          <w:right w:w="23" w:type="dxa"/>
        </w:tblCellMar>
      </w:tblPr>
      <w:tblGrid>
        <w:gridCol w:w="2681"/>
        <w:gridCol w:w="67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3" w:type="dxa"/>
            <w:bottom w:w="0" w:type="dxa"/>
            <w:right w:w="23" w:type="dxa"/>
          </w:tblCellMar>
        </w:tblPrEx>
        <w:trPr>
          <w:trHeight w:val="525" w:hRule="atLeast"/>
          <w:tblHeader/>
          <w:jc w:val="center"/>
        </w:trPr>
        <w:tc>
          <w:tcPr>
            <w:tcW w:w="268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重点任务</w:t>
            </w:r>
          </w:p>
        </w:tc>
        <w:tc>
          <w:tcPr>
            <w:tcW w:w="6704"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负责单位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3" w:type="dxa"/>
            <w:bottom w:w="0" w:type="dxa"/>
            <w:right w:w="23" w:type="dxa"/>
          </w:tblCellMar>
        </w:tblPrEx>
        <w:trPr>
          <w:trHeight w:val="412" w:hRule="atLeast"/>
          <w:jc w:val="center"/>
        </w:trPr>
        <w:tc>
          <w:tcPr>
            <w:tcW w:w="9385"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楷体_GBK" w:cs="Times New Roman"/>
                <w:color w:val="000000" w:themeColor="text1"/>
                <w:sz w:val="24"/>
                <w:szCs w:val="24"/>
                <w14:textFill>
                  <w14:solidFill>
                    <w14:schemeClr w14:val="tx1"/>
                  </w14:solidFill>
                </w14:textFill>
              </w:rPr>
            </w:pPr>
            <w:r>
              <w:rPr>
                <w:rFonts w:hint="default" w:ascii="Times New Roman" w:hAnsi="Times New Roman" w:eastAsia="方正楷体_GBK" w:cs="Times New Roman"/>
                <w:color w:val="000000" w:themeColor="text1"/>
                <w:sz w:val="24"/>
                <w:szCs w:val="24"/>
                <w14:textFill>
                  <w14:solidFill>
                    <w14:schemeClr w14:val="tx1"/>
                  </w14:solidFill>
                </w14:textFill>
              </w:rPr>
              <w:t>加强全行业全过程监管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3" w:type="dxa"/>
            <w:bottom w:w="0" w:type="dxa"/>
            <w:right w:w="23" w:type="dxa"/>
          </w:tblCellMar>
        </w:tblPrEx>
        <w:trPr>
          <w:trHeight w:val="1101" w:hRule="atLeast"/>
          <w:jc w:val="center"/>
        </w:trPr>
        <w:tc>
          <w:tcPr>
            <w:tcW w:w="268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50"/>
              <w:jc w:val="both"/>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提高行政审批效能</w:t>
            </w:r>
          </w:p>
        </w:tc>
        <w:tc>
          <w:tcPr>
            <w:tcW w:w="6704"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3"/>
              <w:jc w:val="both"/>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市卫生健康委、市发展改革委、市科技局、市民政局、市市场监管局分别负责，市工</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业和</w:t>
            </w:r>
            <w:r>
              <w:rPr>
                <w:rFonts w:hint="default" w:ascii="Times New Roman" w:hAnsi="Times New Roman" w:eastAsia="方正仿宋_GBK" w:cs="Times New Roman"/>
                <w:color w:val="000000" w:themeColor="text1"/>
                <w:sz w:val="24"/>
                <w:szCs w:val="24"/>
                <w14:textFill>
                  <w14:solidFill>
                    <w14:schemeClr w14:val="tx1"/>
                  </w14:solidFill>
                </w14:textFill>
              </w:rPr>
              <w:t>信</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息化</w:t>
            </w:r>
            <w:r>
              <w:rPr>
                <w:rFonts w:hint="default" w:ascii="Times New Roman" w:hAnsi="Times New Roman" w:eastAsia="方正仿宋_GBK" w:cs="Times New Roman"/>
                <w:color w:val="000000" w:themeColor="text1"/>
                <w:sz w:val="24"/>
                <w:szCs w:val="24"/>
                <w14:textFill>
                  <w14:solidFill>
                    <w14:schemeClr w14:val="tx1"/>
                  </w14:solidFill>
                </w14:textFill>
              </w:rPr>
              <w:t>局、市人力资源社会保障局、市商务局参与（分别负责为各部门按职责分别牵头，下同）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3" w:type="dxa"/>
            <w:bottom w:w="0" w:type="dxa"/>
            <w:right w:w="23" w:type="dxa"/>
          </w:tblCellMar>
        </w:tblPrEx>
        <w:trPr>
          <w:trHeight w:val="756" w:hRule="atLeast"/>
          <w:jc w:val="center"/>
        </w:trPr>
        <w:tc>
          <w:tcPr>
            <w:tcW w:w="268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3"/>
              <w:jc w:val="both"/>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强化医疗服务质量和安全监管</w:t>
            </w:r>
          </w:p>
        </w:tc>
        <w:tc>
          <w:tcPr>
            <w:tcW w:w="6704"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3"/>
              <w:jc w:val="both"/>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市卫生健康委、市教育局、市国资委、市</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医疗</w:t>
            </w:r>
            <w:r>
              <w:rPr>
                <w:rFonts w:hint="default" w:ascii="Times New Roman" w:hAnsi="Times New Roman" w:eastAsia="方正仿宋_GBK" w:cs="Times New Roman"/>
                <w:color w:val="000000" w:themeColor="text1"/>
                <w:sz w:val="24"/>
                <w:szCs w:val="24"/>
                <w14:textFill>
                  <w14:solidFill>
                    <w14:schemeClr w14:val="tx1"/>
                  </w14:solidFill>
                </w14:textFill>
              </w:rPr>
              <w:t>保</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障</w:t>
            </w:r>
            <w:r>
              <w:rPr>
                <w:rFonts w:hint="default" w:ascii="Times New Roman" w:hAnsi="Times New Roman" w:eastAsia="方正仿宋_GBK" w:cs="Times New Roman"/>
                <w:color w:val="000000" w:themeColor="text1"/>
                <w:sz w:val="24"/>
                <w:szCs w:val="24"/>
                <w14:textFill>
                  <w14:solidFill>
                    <w14:schemeClr w14:val="tx1"/>
                  </w14:solidFill>
                </w14:textFill>
              </w:rPr>
              <w:t>局、市市场监管局负责、宿迁海关</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分别</w:t>
            </w:r>
            <w:r>
              <w:rPr>
                <w:rFonts w:hint="default" w:ascii="Times New Roman" w:hAnsi="Times New Roman" w:eastAsia="方正仿宋_GBK" w:cs="Times New Roman"/>
                <w:color w:val="000000" w:themeColor="text1"/>
                <w:sz w:val="24"/>
                <w:szCs w:val="24"/>
                <w14:textFill>
                  <w14:solidFill>
                    <w14:schemeClr w14:val="tx1"/>
                  </w14:solidFill>
                </w14:textFill>
              </w:rPr>
              <w:t>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3" w:type="dxa"/>
            <w:bottom w:w="0" w:type="dxa"/>
            <w:right w:w="23" w:type="dxa"/>
          </w:tblCellMar>
        </w:tblPrEx>
        <w:trPr>
          <w:trHeight w:val="1124" w:hRule="atLeast"/>
          <w:jc w:val="center"/>
        </w:trPr>
        <w:tc>
          <w:tcPr>
            <w:tcW w:w="268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3"/>
              <w:jc w:val="both"/>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强化医疗卫生机构运行监管</w:t>
            </w:r>
          </w:p>
        </w:tc>
        <w:tc>
          <w:tcPr>
            <w:tcW w:w="6704"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3"/>
              <w:jc w:val="both"/>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市卫生健康委、市财政局、市</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医疗</w:t>
            </w:r>
            <w:r>
              <w:rPr>
                <w:rFonts w:hint="default" w:ascii="Times New Roman" w:hAnsi="Times New Roman" w:eastAsia="方正仿宋_GBK" w:cs="Times New Roman"/>
                <w:color w:val="000000" w:themeColor="text1"/>
                <w:sz w:val="24"/>
                <w:szCs w:val="24"/>
                <w14:textFill>
                  <w14:solidFill>
                    <w14:schemeClr w14:val="tx1"/>
                  </w14:solidFill>
                </w14:textFill>
              </w:rPr>
              <w:t>保</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障</w:t>
            </w:r>
            <w:r>
              <w:rPr>
                <w:rFonts w:hint="default" w:ascii="Times New Roman" w:hAnsi="Times New Roman" w:eastAsia="方正仿宋_GBK" w:cs="Times New Roman"/>
                <w:color w:val="000000" w:themeColor="text1"/>
                <w:sz w:val="24"/>
                <w:szCs w:val="24"/>
                <w14:textFill>
                  <w14:solidFill>
                    <w14:schemeClr w14:val="tx1"/>
                  </w14:solidFill>
                </w14:textFill>
              </w:rPr>
              <w:t>局、宿迁银保监分局分别负责，市发展改革委、市教育局、市人力资源社会保障局、市民政局、市税务局、市市场监管局、市国资委参与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3" w:type="dxa"/>
            <w:bottom w:w="0" w:type="dxa"/>
            <w:right w:w="23" w:type="dxa"/>
          </w:tblCellMar>
        </w:tblPrEx>
        <w:trPr>
          <w:trHeight w:val="556" w:hRule="atLeast"/>
          <w:jc w:val="center"/>
        </w:trPr>
        <w:tc>
          <w:tcPr>
            <w:tcW w:w="268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3"/>
              <w:jc w:val="both"/>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强化医疗卫生从业人员监管</w:t>
            </w:r>
          </w:p>
        </w:tc>
        <w:tc>
          <w:tcPr>
            <w:tcW w:w="6704"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3"/>
              <w:jc w:val="both"/>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市卫生健康委、市监委分别负责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3" w:type="dxa"/>
            <w:bottom w:w="0" w:type="dxa"/>
            <w:right w:w="23" w:type="dxa"/>
          </w:tblCellMar>
        </w:tblPrEx>
        <w:trPr>
          <w:trHeight w:val="1466" w:hRule="atLeast"/>
          <w:jc w:val="center"/>
        </w:trPr>
        <w:tc>
          <w:tcPr>
            <w:tcW w:w="268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3"/>
              <w:jc w:val="both"/>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强化医疗卫生行业秩序监管</w:t>
            </w:r>
          </w:p>
        </w:tc>
        <w:tc>
          <w:tcPr>
            <w:tcW w:w="6704"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3"/>
              <w:jc w:val="both"/>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市卫生健康委、市委宣传部、市委网信办、市委政法委、市公安局、市司法局、市人力资源社会保障局、市商务局、市市场监管局、市文化广电和旅游局、市</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医疗</w:t>
            </w:r>
            <w:r>
              <w:rPr>
                <w:rFonts w:hint="default" w:ascii="Times New Roman" w:hAnsi="Times New Roman" w:eastAsia="方正仿宋_GBK" w:cs="Times New Roman"/>
                <w:color w:val="000000" w:themeColor="text1"/>
                <w:sz w:val="24"/>
                <w:szCs w:val="24"/>
                <w14:textFill>
                  <w14:solidFill>
                    <w14:schemeClr w14:val="tx1"/>
                  </w14:solidFill>
                </w14:textFill>
              </w:rPr>
              <w:t>保</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障</w:t>
            </w:r>
            <w:r>
              <w:rPr>
                <w:rFonts w:hint="default" w:ascii="Times New Roman" w:hAnsi="Times New Roman" w:eastAsia="方正仿宋_GBK" w:cs="Times New Roman"/>
                <w:color w:val="000000" w:themeColor="text1"/>
                <w:sz w:val="24"/>
                <w:szCs w:val="24"/>
                <w14:textFill>
                  <w14:solidFill>
                    <w14:schemeClr w14:val="tx1"/>
                  </w14:solidFill>
                </w14:textFill>
              </w:rPr>
              <w:t>局分别负责，市监委、市中级人民法院、市人民检察院参与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3" w:type="dxa"/>
            <w:bottom w:w="0" w:type="dxa"/>
            <w:right w:w="23" w:type="dxa"/>
          </w:tblCellMar>
        </w:tblPrEx>
        <w:trPr>
          <w:trHeight w:val="961" w:hRule="atLeast"/>
          <w:jc w:val="center"/>
        </w:trPr>
        <w:tc>
          <w:tcPr>
            <w:tcW w:w="268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3"/>
              <w:jc w:val="both"/>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强化公共卫生服务监管</w:t>
            </w:r>
          </w:p>
        </w:tc>
        <w:tc>
          <w:tcPr>
            <w:tcW w:w="6704"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3"/>
              <w:jc w:val="both"/>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市卫生健康委、市发展改革委、市教育局、市财政局、市生态环境局、市住</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房城乡</w:t>
            </w:r>
            <w:r>
              <w:rPr>
                <w:rFonts w:hint="default" w:ascii="Times New Roman" w:hAnsi="Times New Roman" w:eastAsia="方正仿宋_GBK" w:cs="Times New Roman"/>
                <w:color w:val="000000" w:themeColor="text1"/>
                <w:sz w:val="24"/>
                <w:szCs w:val="24"/>
                <w14:textFill>
                  <w14:solidFill>
                    <w14:schemeClr w14:val="tx1"/>
                  </w14:solidFill>
                </w14:textFill>
              </w:rPr>
              <w:t>建</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设</w:t>
            </w:r>
            <w:r>
              <w:rPr>
                <w:rFonts w:hint="default" w:ascii="Times New Roman" w:hAnsi="Times New Roman" w:eastAsia="方正仿宋_GBK" w:cs="Times New Roman"/>
                <w:color w:val="000000" w:themeColor="text1"/>
                <w:sz w:val="24"/>
                <w:szCs w:val="24"/>
                <w14:textFill>
                  <w14:solidFill>
                    <w14:schemeClr w14:val="tx1"/>
                  </w14:solidFill>
                </w14:textFill>
              </w:rPr>
              <w:t>局、市水</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利</w:t>
            </w:r>
            <w:r>
              <w:rPr>
                <w:rFonts w:hint="default" w:ascii="Times New Roman" w:hAnsi="Times New Roman" w:eastAsia="方正仿宋_GBK" w:cs="Times New Roman"/>
                <w:color w:val="000000" w:themeColor="text1"/>
                <w:sz w:val="24"/>
                <w:szCs w:val="24"/>
                <w14:textFill>
                  <w14:solidFill>
                    <w14:schemeClr w14:val="tx1"/>
                  </w14:solidFill>
                </w14:textFill>
              </w:rPr>
              <w:t>局、宿迁海关、市市场监管局</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分别</w:t>
            </w:r>
            <w:r>
              <w:rPr>
                <w:rFonts w:hint="default" w:ascii="Times New Roman" w:hAnsi="Times New Roman" w:eastAsia="方正仿宋_GBK" w:cs="Times New Roman"/>
                <w:color w:val="000000" w:themeColor="text1"/>
                <w:sz w:val="24"/>
                <w:szCs w:val="24"/>
                <w14:textFill>
                  <w14:solidFill>
                    <w14:schemeClr w14:val="tx1"/>
                  </w14:solidFill>
                </w14:textFill>
              </w:rPr>
              <w:t>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3" w:type="dxa"/>
            <w:bottom w:w="0" w:type="dxa"/>
            <w:right w:w="23" w:type="dxa"/>
          </w:tblCellMar>
        </w:tblPrEx>
        <w:trPr>
          <w:trHeight w:val="1376" w:hRule="atLeast"/>
          <w:jc w:val="center"/>
        </w:trPr>
        <w:tc>
          <w:tcPr>
            <w:tcW w:w="268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3"/>
              <w:jc w:val="both"/>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强化健康产业监管</w:t>
            </w:r>
          </w:p>
        </w:tc>
        <w:tc>
          <w:tcPr>
            <w:tcW w:w="6704"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3"/>
              <w:jc w:val="both"/>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市卫生健康委、市委网信办、市发展改革委、市科技局、市工信局、市民政局、市财政局、市人力资源社会保障局、市商务局、市文化广电和旅游局、市国资委、宿迁海关、市税务局、市市场监管局、市体育局、市</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医疗</w:t>
            </w:r>
            <w:r>
              <w:rPr>
                <w:rFonts w:hint="default" w:ascii="Times New Roman" w:hAnsi="Times New Roman" w:eastAsia="方正仿宋_GBK" w:cs="Times New Roman"/>
                <w:color w:val="000000" w:themeColor="text1"/>
                <w:sz w:val="24"/>
                <w:szCs w:val="24"/>
                <w14:textFill>
                  <w14:solidFill>
                    <w14:schemeClr w14:val="tx1"/>
                  </w14:solidFill>
                </w14:textFill>
              </w:rPr>
              <w:t>保</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障</w:t>
            </w:r>
            <w:r>
              <w:rPr>
                <w:rFonts w:hint="default" w:ascii="Times New Roman" w:hAnsi="Times New Roman" w:eastAsia="方正仿宋_GBK" w:cs="Times New Roman"/>
                <w:color w:val="000000" w:themeColor="text1"/>
                <w:sz w:val="24"/>
                <w:szCs w:val="24"/>
                <w14:textFill>
                  <w14:solidFill>
                    <w14:schemeClr w14:val="tx1"/>
                  </w14:solidFill>
                </w14:textFill>
              </w:rPr>
              <w:t>局、宿迁银保监分局</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分别</w:t>
            </w:r>
            <w:r>
              <w:rPr>
                <w:rFonts w:hint="default" w:ascii="Times New Roman" w:hAnsi="Times New Roman" w:eastAsia="方正仿宋_GBK" w:cs="Times New Roman"/>
                <w:color w:val="000000" w:themeColor="text1"/>
                <w:sz w:val="24"/>
                <w:szCs w:val="24"/>
                <w14:textFill>
                  <w14:solidFill>
                    <w14:schemeClr w14:val="tx1"/>
                  </w14:solidFill>
                </w14:textFill>
              </w:rPr>
              <w:t>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3" w:type="dxa"/>
            <w:bottom w:w="0" w:type="dxa"/>
            <w:right w:w="23" w:type="dxa"/>
          </w:tblCellMar>
        </w:tblPrEx>
        <w:trPr>
          <w:trHeight w:val="459" w:hRule="atLeast"/>
          <w:jc w:val="center"/>
        </w:trPr>
        <w:tc>
          <w:tcPr>
            <w:tcW w:w="9385"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楷体_GBK" w:cs="Times New Roman"/>
                <w:color w:val="000000" w:themeColor="text1"/>
                <w:sz w:val="24"/>
                <w:szCs w:val="24"/>
                <w14:textFill>
                  <w14:solidFill>
                    <w14:schemeClr w14:val="tx1"/>
                  </w14:solidFill>
                </w14:textFill>
              </w:rPr>
              <w:t>创新监管手段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3" w:type="dxa"/>
            <w:bottom w:w="0" w:type="dxa"/>
            <w:right w:w="23" w:type="dxa"/>
          </w:tblCellMar>
        </w:tblPrEx>
        <w:trPr>
          <w:trHeight w:val="594" w:hRule="atLeast"/>
          <w:jc w:val="center"/>
        </w:trPr>
        <w:tc>
          <w:tcPr>
            <w:tcW w:w="268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规范执法行为</w:t>
            </w:r>
          </w:p>
        </w:tc>
        <w:tc>
          <w:tcPr>
            <w:tcW w:w="6704"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3"/>
              <w:jc w:val="both"/>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市卫生健康委负责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3" w:type="dxa"/>
            <w:bottom w:w="0" w:type="dxa"/>
            <w:right w:w="23" w:type="dxa"/>
          </w:tblCellMar>
        </w:tblPrEx>
        <w:trPr>
          <w:trHeight w:val="665" w:hRule="atLeast"/>
          <w:jc w:val="center"/>
        </w:trPr>
        <w:tc>
          <w:tcPr>
            <w:tcW w:w="268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3"/>
              <w:jc w:val="both"/>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强化事中事后监管</w:t>
            </w:r>
          </w:p>
        </w:tc>
        <w:tc>
          <w:tcPr>
            <w:tcW w:w="6704"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3"/>
              <w:jc w:val="both"/>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市卫生健康委、市发展改革委、市人力资源社会保障局、宿迁海关、市税务局、市市场监管局、市</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医疗</w:t>
            </w:r>
            <w:r>
              <w:rPr>
                <w:rFonts w:hint="default" w:ascii="Times New Roman" w:hAnsi="Times New Roman" w:eastAsia="方正仿宋_GBK" w:cs="Times New Roman"/>
                <w:color w:val="000000" w:themeColor="text1"/>
                <w:sz w:val="24"/>
                <w:szCs w:val="24"/>
                <w14:textFill>
                  <w14:solidFill>
                    <w14:schemeClr w14:val="tx1"/>
                  </w14:solidFill>
                </w14:textFill>
              </w:rPr>
              <w:t>保</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障</w:t>
            </w:r>
            <w:r>
              <w:rPr>
                <w:rFonts w:hint="default" w:ascii="Times New Roman" w:hAnsi="Times New Roman" w:eastAsia="方正仿宋_GBK" w:cs="Times New Roman"/>
                <w:color w:val="000000" w:themeColor="text1"/>
                <w:sz w:val="24"/>
                <w:szCs w:val="24"/>
                <w14:textFill>
                  <w14:solidFill>
                    <w14:schemeClr w14:val="tx1"/>
                  </w14:solidFill>
                </w14:textFill>
              </w:rPr>
              <w:t>局</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分别</w:t>
            </w:r>
            <w:r>
              <w:rPr>
                <w:rFonts w:hint="default" w:ascii="Times New Roman" w:hAnsi="Times New Roman" w:eastAsia="方正仿宋_GBK" w:cs="Times New Roman"/>
                <w:color w:val="000000" w:themeColor="text1"/>
                <w:sz w:val="24"/>
                <w:szCs w:val="24"/>
                <w14:textFill>
                  <w14:solidFill>
                    <w14:schemeClr w14:val="tx1"/>
                  </w14:solidFill>
                </w14:textFill>
              </w:rPr>
              <w:t>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3" w:type="dxa"/>
            <w:bottom w:w="0" w:type="dxa"/>
            <w:right w:w="23" w:type="dxa"/>
          </w:tblCellMar>
        </w:tblPrEx>
        <w:trPr>
          <w:trHeight w:val="1335" w:hRule="atLeast"/>
          <w:jc w:val="center"/>
        </w:trPr>
        <w:tc>
          <w:tcPr>
            <w:tcW w:w="268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3"/>
              <w:jc w:val="both"/>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开展信用监管</w:t>
            </w:r>
          </w:p>
        </w:tc>
        <w:tc>
          <w:tcPr>
            <w:tcW w:w="6704"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3"/>
              <w:jc w:val="both"/>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市卫生健康委、市发展改革委、市公安局、市财政局、市人力资源社会保障局、市商务局、人民银行宿迁</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中心</w:t>
            </w:r>
            <w:r>
              <w:rPr>
                <w:rFonts w:hint="default" w:ascii="Times New Roman" w:hAnsi="Times New Roman" w:eastAsia="方正仿宋_GBK" w:cs="Times New Roman"/>
                <w:color w:val="000000" w:themeColor="text1"/>
                <w:sz w:val="24"/>
                <w:szCs w:val="24"/>
                <w14:textFill>
                  <w14:solidFill>
                    <w14:schemeClr w14:val="tx1"/>
                  </w14:solidFill>
                </w14:textFill>
              </w:rPr>
              <w:t>支行、宿迁海关、市税务局、市市场监管局、市</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医疗</w:t>
            </w:r>
            <w:r>
              <w:rPr>
                <w:rFonts w:hint="default" w:ascii="Times New Roman" w:hAnsi="Times New Roman" w:eastAsia="方正仿宋_GBK" w:cs="Times New Roman"/>
                <w:color w:val="000000" w:themeColor="text1"/>
                <w:sz w:val="24"/>
                <w:szCs w:val="24"/>
                <w14:textFill>
                  <w14:solidFill>
                    <w14:schemeClr w14:val="tx1"/>
                  </w14:solidFill>
                </w14:textFill>
              </w:rPr>
              <w:t>保</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障</w:t>
            </w:r>
            <w:r>
              <w:rPr>
                <w:rFonts w:hint="default" w:ascii="Times New Roman" w:hAnsi="Times New Roman" w:eastAsia="方正仿宋_GBK" w:cs="Times New Roman"/>
                <w:color w:val="000000" w:themeColor="text1"/>
                <w:sz w:val="24"/>
                <w:szCs w:val="24"/>
                <w14:textFill>
                  <w14:solidFill>
                    <w14:schemeClr w14:val="tx1"/>
                  </w14:solidFill>
                </w14:textFill>
              </w:rPr>
              <w:t>局、市中级人民法院、市人民检察院</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分别</w:t>
            </w:r>
            <w:r>
              <w:rPr>
                <w:rFonts w:hint="default" w:ascii="Times New Roman" w:hAnsi="Times New Roman" w:eastAsia="方正仿宋_GBK" w:cs="Times New Roman"/>
                <w:color w:val="000000" w:themeColor="text1"/>
                <w:sz w:val="24"/>
                <w:szCs w:val="24"/>
                <w14:textFill>
                  <w14:solidFill>
                    <w14:schemeClr w14:val="tx1"/>
                  </w14:solidFill>
                </w14:textFill>
              </w:rPr>
              <w:t>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3" w:type="dxa"/>
            <w:bottom w:w="0" w:type="dxa"/>
            <w:right w:w="23" w:type="dxa"/>
          </w:tblCellMar>
        </w:tblPrEx>
        <w:trPr>
          <w:trHeight w:val="784" w:hRule="atLeast"/>
          <w:jc w:val="center"/>
        </w:trPr>
        <w:tc>
          <w:tcPr>
            <w:tcW w:w="268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推进信息公开</w:t>
            </w:r>
          </w:p>
        </w:tc>
        <w:tc>
          <w:tcPr>
            <w:tcW w:w="6704"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3"/>
              <w:jc w:val="both"/>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市卫生健康委、市发展改革委、市教育局、市财政局、市人力资源社会保障局、市商务局、市国资委、宿迁海关、市税务局、市市场监管局、市</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医疗</w:t>
            </w:r>
            <w:r>
              <w:rPr>
                <w:rFonts w:hint="default" w:ascii="Times New Roman" w:hAnsi="Times New Roman" w:eastAsia="方正仿宋_GBK" w:cs="Times New Roman"/>
                <w:color w:val="000000" w:themeColor="text1"/>
                <w:sz w:val="24"/>
                <w:szCs w:val="24"/>
                <w14:textFill>
                  <w14:solidFill>
                    <w14:schemeClr w14:val="tx1"/>
                  </w14:solidFill>
                </w14:textFill>
              </w:rPr>
              <w:t>保</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障</w:t>
            </w:r>
            <w:r>
              <w:rPr>
                <w:rFonts w:hint="default" w:ascii="Times New Roman" w:hAnsi="Times New Roman" w:eastAsia="方正仿宋_GBK" w:cs="Times New Roman"/>
                <w:color w:val="000000" w:themeColor="text1"/>
                <w:sz w:val="24"/>
                <w:szCs w:val="24"/>
                <w14:textFill>
                  <w14:solidFill>
                    <w14:schemeClr w14:val="tx1"/>
                  </w14:solidFill>
                </w14:textFill>
              </w:rPr>
              <w:t>局</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分别</w:t>
            </w:r>
            <w:r>
              <w:rPr>
                <w:rFonts w:hint="default" w:ascii="Times New Roman" w:hAnsi="Times New Roman" w:eastAsia="方正仿宋_GBK" w:cs="Times New Roman"/>
                <w:color w:val="000000" w:themeColor="text1"/>
                <w:sz w:val="24"/>
                <w:szCs w:val="24"/>
                <w14:textFill>
                  <w14:solidFill>
                    <w14:schemeClr w14:val="tx1"/>
                  </w14:solidFill>
                </w14:textFill>
              </w:rPr>
              <w:t>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3" w:type="dxa"/>
            <w:bottom w:w="0" w:type="dxa"/>
            <w:right w:w="23" w:type="dxa"/>
          </w:tblCellMar>
        </w:tblPrEx>
        <w:trPr>
          <w:trHeight w:val="722" w:hRule="atLeast"/>
          <w:jc w:val="center"/>
        </w:trPr>
        <w:tc>
          <w:tcPr>
            <w:tcW w:w="268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加强风险管控</w:t>
            </w:r>
          </w:p>
        </w:tc>
        <w:tc>
          <w:tcPr>
            <w:tcW w:w="6704"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3"/>
              <w:jc w:val="both"/>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市卫生健康委、市委网信办、市发展改革委、市教育局、市财政局、市人力资源社会保障局、市国资委、宿迁海关、市税务局、市市场监管局、市</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医疗</w:t>
            </w:r>
            <w:r>
              <w:rPr>
                <w:rFonts w:hint="default" w:ascii="Times New Roman" w:hAnsi="Times New Roman" w:eastAsia="方正仿宋_GBK" w:cs="Times New Roman"/>
                <w:color w:val="000000" w:themeColor="text1"/>
                <w:sz w:val="24"/>
                <w:szCs w:val="24"/>
                <w14:textFill>
                  <w14:solidFill>
                    <w14:schemeClr w14:val="tx1"/>
                  </w14:solidFill>
                </w14:textFill>
              </w:rPr>
              <w:t>保</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障</w:t>
            </w:r>
            <w:r>
              <w:rPr>
                <w:rFonts w:hint="default" w:ascii="Times New Roman" w:hAnsi="Times New Roman" w:eastAsia="方正仿宋_GBK" w:cs="Times New Roman"/>
                <w:color w:val="000000" w:themeColor="text1"/>
                <w:sz w:val="24"/>
                <w:szCs w:val="24"/>
                <w14:textFill>
                  <w14:solidFill>
                    <w14:schemeClr w14:val="tx1"/>
                  </w14:solidFill>
                </w14:textFill>
              </w:rPr>
              <w:t>局</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分别</w:t>
            </w:r>
            <w:r>
              <w:rPr>
                <w:rFonts w:hint="default" w:ascii="Times New Roman" w:hAnsi="Times New Roman" w:eastAsia="方正仿宋_GBK" w:cs="Times New Roman"/>
                <w:color w:val="000000" w:themeColor="text1"/>
                <w:sz w:val="24"/>
                <w:szCs w:val="24"/>
                <w14:textFill>
                  <w14:solidFill>
                    <w14:schemeClr w14:val="tx1"/>
                  </w14:solidFill>
                </w14:textFill>
              </w:rPr>
              <w:t>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3" w:type="dxa"/>
            <w:bottom w:w="0" w:type="dxa"/>
            <w:right w:w="23" w:type="dxa"/>
          </w:tblCellMar>
        </w:tblPrEx>
        <w:trPr>
          <w:trHeight w:val="423" w:hRule="atLeast"/>
          <w:jc w:val="center"/>
        </w:trPr>
        <w:tc>
          <w:tcPr>
            <w:tcW w:w="268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实行网格化管理</w:t>
            </w:r>
          </w:p>
        </w:tc>
        <w:tc>
          <w:tcPr>
            <w:tcW w:w="6704"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3"/>
              <w:jc w:val="both"/>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市卫生健康委、市委政法委、市住</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房城乡</w:t>
            </w:r>
            <w:r>
              <w:rPr>
                <w:rFonts w:hint="default" w:ascii="Times New Roman" w:hAnsi="Times New Roman" w:eastAsia="方正仿宋_GBK" w:cs="Times New Roman"/>
                <w:color w:val="000000" w:themeColor="text1"/>
                <w:sz w:val="24"/>
                <w:szCs w:val="24"/>
                <w14:textFill>
                  <w14:solidFill>
                    <w14:schemeClr w14:val="tx1"/>
                  </w14:solidFill>
                </w14:textFill>
              </w:rPr>
              <w:t>建</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设</w:t>
            </w:r>
            <w:r>
              <w:rPr>
                <w:rFonts w:hint="default" w:ascii="Times New Roman" w:hAnsi="Times New Roman" w:eastAsia="方正仿宋_GBK" w:cs="Times New Roman"/>
                <w:color w:val="000000" w:themeColor="text1"/>
                <w:sz w:val="24"/>
                <w:szCs w:val="24"/>
                <w14:textFill>
                  <w14:solidFill>
                    <w14:schemeClr w14:val="tx1"/>
                  </w14:solidFill>
                </w14:textFill>
              </w:rPr>
              <w:t>局</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分别</w:t>
            </w:r>
            <w:r>
              <w:rPr>
                <w:rFonts w:hint="default" w:ascii="Times New Roman" w:hAnsi="Times New Roman" w:eastAsia="方正仿宋_GBK" w:cs="Times New Roman"/>
                <w:color w:val="000000" w:themeColor="text1"/>
                <w:sz w:val="24"/>
                <w:szCs w:val="24"/>
                <w14:textFill>
                  <w14:solidFill>
                    <w14:schemeClr w14:val="tx1"/>
                  </w14:solidFill>
                </w14:textFill>
              </w:rPr>
              <w:t>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3" w:type="dxa"/>
            <w:bottom w:w="0" w:type="dxa"/>
            <w:right w:w="23" w:type="dxa"/>
          </w:tblCellMar>
        </w:tblPrEx>
        <w:trPr>
          <w:trHeight w:val="985" w:hRule="atLeast"/>
          <w:jc w:val="center"/>
        </w:trPr>
        <w:tc>
          <w:tcPr>
            <w:tcW w:w="268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3"/>
              <w:jc w:val="both"/>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推进协同监管</w:t>
            </w:r>
          </w:p>
        </w:tc>
        <w:tc>
          <w:tcPr>
            <w:tcW w:w="6704"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3"/>
              <w:jc w:val="both"/>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市卫生健康委、市发展改革委、市教育局、市财政局、市人力资源社会保障局、市国资委、宿迁海关、市市场监管局、市</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医疗</w:t>
            </w:r>
            <w:r>
              <w:rPr>
                <w:rFonts w:hint="default" w:ascii="Times New Roman" w:hAnsi="Times New Roman" w:eastAsia="方正仿宋_GBK" w:cs="Times New Roman"/>
                <w:color w:val="000000" w:themeColor="text1"/>
                <w:sz w:val="24"/>
                <w:szCs w:val="24"/>
                <w14:textFill>
                  <w14:solidFill>
                    <w14:schemeClr w14:val="tx1"/>
                  </w14:solidFill>
                </w14:textFill>
              </w:rPr>
              <w:t>保</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障</w:t>
            </w:r>
            <w:r>
              <w:rPr>
                <w:rFonts w:hint="default" w:ascii="Times New Roman" w:hAnsi="Times New Roman" w:eastAsia="方正仿宋_GBK" w:cs="Times New Roman"/>
                <w:color w:val="000000" w:themeColor="text1"/>
                <w:sz w:val="24"/>
                <w:szCs w:val="24"/>
                <w14:textFill>
                  <w14:solidFill>
                    <w14:schemeClr w14:val="tx1"/>
                  </w14:solidFill>
                </w14:textFill>
              </w:rPr>
              <w:t>局</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分别</w:t>
            </w:r>
            <w:r>
              <w:rPr>
                <w:rFonts w:hint="default" w:ascii="Times New Roman" w:hAnsi="Times New Roman" w:eastAsia="方正仿宋_GBK" w:cs="Times New Roman"/>
                <w:color w:val="000000" w:themeColor="text1"/>
                <w:sz w:val="24"/>
                <w:szCs w:val="24"/>
                <w14:textFill>
                  <w14:solidFill>
                    <w14:schemeClr w14:val="tx1"/>
                  </w14:solidFill>
                </w14:textFill>
              </w:rPr>
              <w:t>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3" w:type="dxa"/>
            <w:bottom w:w="0" w:type="dxa"/>
            <w:right w:w="23" w:type="dxa"/>
          </w:tblCellMar>
        </w:tblPrEx>
        <w:trPr>
          <w:trHeight w:val="419" w:hRule="atLeast"/>
          <w:jc w:val="center"/>
        </w:trPr>
        <w:tc>
          <w:tcPr>
            <w:tcW w:w="9385"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楷体_GBK" w:cs="Times New Roman"/>
                <w:color w:val="000000" w:themeColor="text1"/>
                <w:sz w:val="24"/>
                <w:szCs w:val="24"/>
                <w14:textFill>
                  <w14:solidFill>
                    <w14:schemeClr w14:val="tx1"/>
                  </w14:solidFill>
                </w14:textFill>
              </w:rPr>
              <w:t>组织实施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3" w:type="dxa"/>
            <w:bottom w:w="0" w:type="dxa"/>
            <w:right w:w="23" w:type="dxa"/>
          </w:tblCellMar>
        </w:tblPrEx>
        <w:trPr>
          <w:trHeight w:val="1671" w:hRule="atLeast"/>
          <w:jc w:val="center"/>
        </w:trPr>
        <w:tc>
          <w:tcPr>
            <w:tcW w:w="2681" w:type="dxa"/>
            <w:tcBorders>
              <w:top w:val="single" w:color="auto" w:sz="6" w:space="0"/>
              <w:left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加强组织领导，落实部门责任</w:t>
            </w:r>
          </w:p>
        </w:tc>
        <w:tc>
          <w:tcPr>
            <w:tcW w:w="6704" w:type="dxa"/>
            <w:tcBorders>
              <w:top w:val="single" w:color="auto" w:sz="6" w:space="0"/>
              <w:left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各县（区）人民政府、市各功能区管委会、市卫生健康委、市发展改革委、市教育局、市公安局、市民政局、市司法局、市财政局、市人力资源社会保障局、市生态环境局、市住</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房城乡</w:t>
            </w:r>
            <w:r>
              <w:rPr>
                <w:rFonts w:hint="default" w:ascii="Times New Roman" w:hAnsi="Times New Roman" w:eastAsia="方正仿宋_GBK" w:cs="Times New Roman"/>
                <w:color w:val="000000" w:themeColor="text1"/>
                <w:sz w:val="24"/>
                <w:szCs w:val="24"/>
                <w14:textFill>
                  <w14:solidFill>
                    <w14:schemeClr w14:val="tx1"/>
                  </w14:solidFill>
                </w14:textFill>
              </w:rPr>
              <w:t>建</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设</w:t>
            </w:r>
            <w:r>
              <w:rPr>
                <w:rFonts w:hint="default" w:ascii="Times New Roman" w:hAnsi="Times New Roman" w:eastAsia="方正仿宋_GBK" w:cs="Times New Roman"/>
                <w:color w:val="000000" w:themeColor="text1"/>
                <w:sz w:val="24"/>
                <w:szCs w:val="24"/>
                <w14:textFill>
                  <w14:solidFill>
                    <w14:schemeClr w14:val="tx1"/>
                  </w14:solidFill>
                </w14:textFill>
              </w:rPr>
              <w:t>局、市水</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利</w:t>
            </w:r>
            <w:r>
              <w:rPr>
                <w:rFonts w:hint="default" w:ascii="Times New Roman" w:hAnsi="Times New Roman" w:eastAsia="方正仿宋_GBK" w:cs="Times New Roman"/>
                <w:color w:val="000000" w:themeColor="text1"/>
                <w:sz w:val="24"/>
                <w:szCs w:val="24"/>
                <w14:textFill>
                  <w14:solidFill>
                    <w14:schemeClr w14:val="tx1"/>
                  </w14:solidFill>
                </w14:textFill>
              </w:rPr>
              <w:t>局、市商务局、人民银行宿迁</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中心</w:t>
            </w:r>
            <w:r>
              <w:rPr>
                <w:rFonts w:hint="default" w:ascii="Times New Roman" w:hAnsi="Times New Roman" w:eastAsia="方正仿宋_GBK" w:cs="Times New Roman"/>
                <w:color w:val="000000" w:themeColor="text1"/>
                <w:sz w:val="24"/>
                <w:szCs w:val="24"/>
                <w14:textFill>
                  <w14:solidFill>
                    <w14:schemeClr w14:val="tx1"/>
                  </w14:solidFill>
                </w14:textFill>
              </w:rPr>
              <w:t>支行、市审计局、市国资委、宿迁海关、市税务局、市市场监管局、市</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医疗</w:t>
            </w:r>
            <w:r>
              <w:rPr>
                <w:rFonts w:hint="default" w:ascii="Times New Roman" w:hAnsi="Times New Roman" w:eastAsia="方正仿宋_GBK" w:cs="Times New Roman"/>
                <w:color w:val="000000" w:themeColor="text1"/>
                <w:sz w:val="24"/>
                <w:szCs w:val="24"/>
                <w14:textFill>
                  <w14:solidFill>
                    <w14:schemeClr w14:val="tx1"/>
                  </w14:solidFill>
                </w14:textFill>
              </w:rPr>
              <w:t>保</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障</w:t>
            </w:r>
            <w:r>
              <w:rPr>
                <w:rFonts w:hint="default" w:ascii="Times New Roman" w:hAnsi="Times New Roman" w:eastAsia="方正仿宋_GBK" w:cs="Times New Roman"/>
                <w:color w:val="000000" w:themeColor="text1"/>
                <w:sz w:val="24"/>
                <w:szCs w:val="24"/>
                <w14:textFill>
                  <w14:solidFill>
                    <w14:schemeClr w14:val="tx1"/>
                  </w14:solidFill>
                </w14:textFill>
              </w:rPr>
              <w:t>局、宿迁银保监分局等分别负责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3" w:type="dxa"/>
            <w:bottom w:w="0" w:type="dxa"/>
            <w:right w:w="23" w:type="dxa"/>
          </w:tblCellMar>
        </w:tblPrEx>
        <w:trPr>
          <w:trHeight w:val="642" w:hRule="atLeast"/>
          <w:jc w:val="center"/>
        </w:trPr>
        <w:tc>
          <w:tcPr>
            <w:tcW w:w="2681" w:type="dxa"/>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建立督</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查</w:t>
            </w:r>
            <w:r>
              <w:rPr>
                <w:rFonts w:hint="default" w:ascii="Times New Roman" w:hAnsi="Times New Roman" w:eastAsia="方正仿宋_GBK" w:cs="Times New Roman"/>
                <w:color w:val="000000" w:themeColor="text1"/>
                <w:sz w:val="24"/>
                <w:szCs w:val="24"/>
                <w14:textFill>
                  <w14:solidFill>
                    <w14:schemeClr w14:val="tx1"/>
                  </w14:solidFill>
                </w14:textFill>
              </w:rPr>
              <w:t>机制，严格责任追究</w:t>
            </w:r>
          </w:p>
        </w:tc>
        <w:tc>
          <w:tcPr>
            <w:tcW w:w="6704" w:type="dxa"/>
            <w:tcBorders>
              <w:top w:val="single" w:color="auto" w:sz="6" w:space="0"/>
              <w:left w:val="nil"/>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市卫生健康委负责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3" w:type="dxa"/>
            <w:bottom w:w="0" w:type="dxa"/>
            <w:right w:w="23" w:type="dxa"/>
          </w:tblCellMar>
        </w:tblPrEx>
        <w:trPr>
          <w:trHeight w:val="354" w:hRule="atLeast"/>
          <w:jc w:val="center"/>
        </w:trPr>
        <w:tc>
          <w:tcPr>
            <w:tcW w:w="268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运用信息技术，提升监管效能</w:t>
            </w:r>
          </w:p>
        </w:tc>
        <w:tc>
          <w:tcPr>
            <w:tcW w:w="6704"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3"/>
              <w:jc w:val="both"/>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市卫生健康委、市委网信办、市发展改革委、市工</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业和</w:t>
            </w:r>
            <w:r>
              <w:rPr>
                <w:rFonts w:hint="default" w:ascii="Times New Roman" w:hAnsi="Times New Roman" w:eastAsia="方正仿宋_GBK" w:cs="Times New Roman"/>
                <w:color w:val="000000" w:themeColor="text1"/>
                <w:sz w:val="24"/>
                <w:szCs w:val="24"/>
                <w14:textFill>
                  <w14:solidFill>
                    <w14:schemeClr w14:val="tx1"/>
                  </w14:solidFill>
                </w14:textFill>
              </w:rPr>
              <w:t>信</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息化</w:t>
            </w:r>
            <w:r>
              <w:rPr>
                <w:rFonts w:hint="default" w:ascii="Times New Roman" w:hAnsi="Times New Roman" w:eastAsia="方正仿宋_GBK" w:cs="Times New Roman"/>
                <w:color w:val="000000" w:themeColor="text1"/>
                <w:sz w:val="24"/>
                <w:szCs w:val="24"/>
                <w14:textFill>
                  <w14:solidFill>
                    <w14:schemeClr w14:val="tx1"/>
                  </w14:solidFill>
                </w14:textFill>
              </w:rPr>
              <w:t>局、市财政局</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分别</w:t>
            </w:r>
            <w:r>
              <w:rPr>
                <w:rFonts w:hint="default" w:ascii="Times New Roman" w:hAnsi="Times New Roman" w:eastAsia="方正仿宋_GBK" w:cs="Times New Roman"/>
                <w:color w:val="000000" w:themeColor="text1"/>
                <w:sz w:val="24"/>
                <w:szCs w:val="24"/>
                <w14:textFill>
                  <w14:solidFill>
                    <w14:schemeClr w14:val="tx1"/>
                  </w14:solidFill>
                </w14:textFill>
              </w:rPr>
              <w:t>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3" w:type="dxa"/>
            <w:bottom w:w="0" w:type="dxa"/>
            <w:right w:w="23" w:type="dxa"/>
          </w:tblCellMar>
        </w:tblPrEx>
        <w:trPr>
          <w:trHeight w:val="788" w:hRule="atLeast"/>
          <w:jc w:val="center"/>
        </w:trPr>
        <w:tc>
          <w:tcPr>
            <w:tcW w:w="268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强化队伍建设，提高执法水平</w:t>
            </w:r>
          </w:p>
        </w:tc>
        <w:tc>
          <w:tcPr>
            <w:tcW w:w="6704"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3"/>
              <w:jc w:val="both"/>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市卫生健康委、市委组织部、市委编办、市发展改革委、市财政局、市人力资源社会保障局分别负责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3" w:type="dxa"/>
            <w:bottom w:w="0" w:type="dxa"/>
            <w:right w:w="23" w:type="dxa"/>
          </w:tblCellMar>
        </w:tblPrEx>
        <w:trPr>
          <w:trHeight w:val="680" w:hRule="atLeast"/>
          <w:jc w:val="center"/>
        </w:trPr>
        <w:tc>
          <w:tcPr>
            <w:tcW w:w="268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加强宣传引导，营造良好氛围</w:t>
            </w:r>
          </w:p>
        </w:tc>
        <w:tc>
          <w:tcPr>
            <w:tcW w:w="6704"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市委宣传部、市委网信办、市卫生健康委分别负责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3" w:type="dxa"/>
            <w:bottom w:w="0" w:type="dxa"/>
            <w:right w:w="23" w:type="dxa"/>
          </w:tblCellMar>
        </w:tblPrEx>
        <w:trPr>
          <w:trHeight w:val="1768" w:hRule="atLeast"/>
          <w:jc w:val="center"/>
        </w:trPr>
        <w:tc>
          <w:tcPr>
            <w:tcW w:w="268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将地方各级政府和有关部门的综合监管工作履职情况与其综合目标管理考核情况相挂钩，纳入重大事项督查范围，切实提高监管效能。</w:t>
            </w:r>
          </w:p>
        </w:tc>
        <w:tc>
          <w:tcPr>
            <w:tcW w:w="6704"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各县（区）人民政府、市各功能区管委会分别负责</w:t>
            </w:r>
          </w:p>
        </w:tc>
      </w:tr>
    </w:tbl>
    <w:p>
      <w:pPr>
        <w:spacing w:line="280" w:lineRule="exact"/>
        <w:ind w:firstLine="640" w:firstLineChars="200"/>
        <w:jc w:val="left"/>
        <w:rPr>
          <w:rFonts w:hint="default" w:ascii="Times New Roman" w:hAnsi="Times New Roman" w:eastAsia="方正仿宋_GBK" w:cs="Times New Roman"/>
          <w:kern w:val="32"/>
          <w:sz w:val="32"/>
          <w:szCs w:val="32"/>
        </w:rPr>
      </w:pPr>
    </w:p>
    <w:p>
      <w:pPr>
        <w:autoSpaceDE w:val="0"/>
        <w:autoSpaceDN w:val="0"/>
        <w:snapToGrid w:val="0"/>
        <w:spacing w:line="580" w:lineRule="exact"/>
        <w:ind w:firstLine="210" w:firstLineChars="100"/>
        <w:rPr>
          <w:rFonts w:hint="default" w:ascii="Times New Roman" w:hAnsi="Times New Roman" w:eastAsia="方正仿宋_GBK" w:cs="Times New Roman"/>
          <w:spacing w:val="-4"/>
          <w:sz w:val="28"/>
          <w:szCs w:val="28"/>
        </w:rPr>
      </w:pPr>
      <w:r>
        <w:rPr>
          <w:rFonts w:hint="default" w:ascii="Times New Roman" w:hAnsi="Times New Roman" w:eastAsia="方正仿宋_GBK" w:cs="Times New Roman"/>
        </w:rPr>
        <mc:AlternateContent>
          <mc:Choice Requires="wps">
            <w:drawing>
              <wp:anchor distT="0" distB="0" distL="114300" distR="114300" simplePos="0" relativeHeight="251658240" behindDoc="0" locked="1" layoutInCell="1" allowOverlap="1">
                <wp:simplePos x="0" y="0"/>
                <wp:positionH relativeFrom="column">
                  <wp:posOffset>0</wp:posOffset>
                </wp:positionH>
                <wp:positionV relativeFrom="paragraph">
                  <wp:posOffset>31115</wp:posOffset>
                </wp:positionV>
                <wp:extent cx="5609590" cy="254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45pt;height:0.2pt;width:441.7pt;z-index:251658240;mso-width-relative:page;mso-height-relative:page;" filled="f" stroked="t" coordsize="21600,21600" o:gfxdata="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Bhi341QAAAAQBAAAPAAAAAAAAAAEAIAAAACIAAABkcnMvZG93bnJl&#10;di54bWxQSwECFAAUAAAACACHTuJARLCB/AACAAD2AwAADgAAAAAAAAABACAAAAAkAQAAZHJzL2Uy&#10;b0RvYy54bWxQSwUGAAAAAAYABgBZAQAAlgU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sz w:val="28"/>
          <w:szCs w:val="28"/>
        </w:rPr>
        <w:t>抄送：</w:t>
      </w:r>
      <w:r>
        <w:rPr>
          <w:rFonts w:hint="default" w:ascii="Times New Roman" w:hAnsi="Times New Roman" w:eastAsia="方正仿宋_GBK" w:cs="Times New Roman"/>
          <w:spacing w:val="-2"/>
          <w:sz w:val="28"/>
          <w:szCs w:val="28"/>
        </w:rPr>
        <w:t>市</w:t>
      </w:r>
      <w:r>
        <w:rPr>
          <w:rFonts w:hint="default" w:ascii="Times New Roman" w:hAnsi="Times New Roman" w:eastAsia="方正仿宋_GBK" w:cs="Times New Roman"/>
          <w:spacing w:val="-4"/>
          <w:sz w:val="28"/>
          <w:szCs w:val="28"/>
        </w:rPr>
        <w:t>委各部委办，市人大常委会办公室，市政协办公室，市监委，</w:t>
      </w:r>
    </w:p>
    <w:p>
      <w:pPr>
        <w:keepNext w:val="0"/>
        <w:keepLines w:val="0"/>
        <w:pageBreakBefore w:val="0"/>
        <w:widowControl w:val="0"/>
        <w:kinsoku/>
        <w:wordWrap/>
        <w:overflowPunct/>
        <w:topLinePunct w:val="0"/>
        <w:autoSpaceDE w:val="0"/>
        <w:autoSpaceDN w:val="0"/>
        <w:bidi w:val="0"/>
        <w:adjustRightInd/>
        <w:snapToGrid w:val="0"/>
        <w:spacing w:line="580" w:lineRule="exact"/>
        <w:ind w:firstLine="1046" w:firstLineChars="379"/>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2"/>
          <w:sz w:val="28"/>
          <w:szCs w:val="28"/>
        </w:rPr>
        <w:t>市法院，</w:t>
      </w:r>
      <w:r>
        <w:rPr>
          <w:rFonts w:hint="default" w:ascii="Times New Roman" w:hAnsi="Times New Roman" w:eastAsia="方正仿宋_GBK" w:cs="Times New Roman"/>
          <w:sz w:val="28"/>
          <w:szCs w:val="28"/>
        </w:rPr>
        <w:t>市检察院，宿迁军分区。</w:t>
      </w:r>
    </w:p>
    <w:p>
      <w:pPr>
        <w:autoSpaceDE w:val="0"/>
        <w:autoSpaceDN w:val="0"/>
        <w:adjustRightInd w:val="0"/>
        <w:snapToGrid w:val="0"/>
        <w:spacing w:line="580" w:lineRule="exact"/>
        <w:ind w:firstLine="280" w:firstLineChars="1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432435</wp:posOffset>
                </wp:positionV>
                <wp:extent cx="5611495" cy="254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4.05pt;height:0.2pt;width:441.85pt;z-index:251660288;mso-width-relative:page;mso-height-relative:page;" filled="f" stroked="t" coordsize="21600,21600" o:gfxdata="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SF+321gAAAAYBAAAPAAAAAAAAAAEAIAAAACIAAABkcnMvZG93bnJl&#10;di54bWxQSwECFAAUAAAACACHTuJAjJN+0f8BAAD2AwAADgAAAAAAAAABACAAAAAlAQAAZHJzL2Uy&#10;b0RvYy54bWxQSwUGAAAAAAYABgBZAQAAlgU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50800</wp:posOffset>
                </wp:positionV>
                <wp:extent cx="5615940" cy="254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4pt;height:0.2pt;width:442.2pt;z-index:251659264;mso-width-relative:page;mso-height-relative:page;" filled="f" stroked="t" coordsize="21600,21600" o:gfxdata="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nrlJ9MAAAAEAQAADwAAAAAAAAABACAAAAAiAAAAZHJzL2Rvd25yZXYueG1sUEsB&#10;AhQAFAAAAAgAh07iQBbWobL6AQAA9QMAAA4AAAAAAAAAAQAgAAAAIgEAAGRycy9lMm9Eb2MueG1s&#10;UEsFBgAAAAAGAAYAWQEAAI4FAAAAAA==&#10;">
                <v:fill on="f" focussize="0,0"/>
                <v:stroke color="#000000" joinstyle="round"/>
                <v:imagedata o:title=""/>
                <o:lock v:ext="edit" aspectratio="f"/>
                <w10:anchorlock/>
              </v:line>
            </w:pict>
          </mc:Fallback>
        </mc:AlternateContent>
      </w:r>
      <w:r>
        <w:rPr>
          <w:rFonts w:hint="default" w:ascii="Times New Roman" w:hAnsi="Times New Roman" w:eastAsia="方正仿宋_GBK" w:cs="Times New Roman"/>
          <w:sz w:val="28"/>
          <w:szCs w:val="28"/>
        </w:rPr>
        <w:t>宿迁市人民政府办公室                     2020年</w:t>
      </w:r>
      <w:r>
        <w:rPr>
          <w:rFonts w:hint="default" w:ascii="Times New Roman" w:hAnsi="Times New Roman" w:eastAsia="方正仿宋_GBK" w:cs="Times New Roman"/>
          <w:sz w:val="28"/>
          <w:szCs w:val="28"/>
          <w:lang w:val="en-US" w:eastAsia="zh-CN"/>
        </w:rPr>
        <w:t>10</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14</w:t>
      </w:r>
      <w:r>
        <w:rPr>
          <w:rFonts w:hint="default" w:ascii="Times New Roman" w:hAnsi="Times New Roman" w:eastAsia="方正仿宋_GBK" w:cs="Times New Roman"/>
          <w:sz w:val="28"/>
          <w:szCs w:val="28"/>
        </w:rPr>
        <w:t>日印发</w:t>
      </w:r>
    </w:p>
    <w:sectPr>
      <w:footerReference r:id="rId3" w:type="default"/>
      <w:pgSz w:w="11906" w:h="16838"/>
      <w:pgMar w:top="2098" w:right="1531" w:bottom="1928" w:left="1531" w:header="851" w:footer="147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C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Times New Roman" w:hAnsi="Times New Roman" w:cs="Times New Roman" w:eastAsiaTheme="minorEastAsia"/>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Times New Roman" w:hAnsi="Times New Roman" w:cs="Times New Roman" w:eastAsiaTheme="minorEastAsia"/>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0C356C"/>
    <w:rsid w:val="075F7BF3"/>
    <w:rsid w:val="089E741C"/>
    <w:rsid w:val="097B0CEE"/>
    <w:rsid w:val="0B3D305B"/>
    <w:rsid w:val="15FC2ACC"/>
    <w:rsid w:val="1B1A6982"/>
    <w:rsid w:val="1B9E5842"/>
    <w:rsid w:val="1D607EC2"/>
    <w:rsid w:val="25291E18"/>
    <w:rsid w:val="2D2570E7"/>
    <w:rsid w:val="39095304"/>
    <w:rsid w:val="3EA33B3C"/>
    <w:rsid w:val="418807A1"/>
    <w:rsid w:val="42882019"/>
    <w:rsid w:val="45D7475B"/>
    <w:rsid w:val="494A7DC8"/>
    <w:rsid w:val="4EE076AE"/>
    <w:rsid w:val="54E40FA7"/>
    <w:rsid w:val="56D600FF"/>
    <w:rsid w:val="57482EE3"/>
    <w:rsid w:val="5B6655D0"/>
    <w:rsid w:val="653727FB"/>
    <w:rsid w:val="66FD31CD"/>
    <w:rsid w:val="6B3A2955"/>
    <w:rsid w:val="70D92933"/>
    <w:rsid w:val="73460BCB"/>
    <w:rsid w:val="7A3A7E10"/>
    <w:rsid w:val="7E0C356C"/>
    <w:rsid w:val="7E2B54BD"/>
    <w:rsid w:val="7E356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spacing w:after="120" w:line="276" w:lineRule="auto"/>
      <w:jc w:val="left"/>
    </w:pPr>
    <w:rPr>
      <w:rFonts w:ascii="微软雅黑" w:hAnsi="微软雅黑" w:eastAsia="微软雅黑"/>
      <w:kern w:val="0"/>
      <w:sz w:val="22"/>
      <w:szCs w:val="22"/>
      <w:lang w:eastAsia="en-US"/>
    </w:rPr>
  </w:style>
  <w:style w:type="paragraph" w:styleId="3">
    <w:name w:val="Body Text Indent"/>
    <w:basedOn w:val="1"/>
    <w:qFormat/>
    <w:uiPriority w:val="0"/>
    <w:pPr>
      <w:spacing w:after="120"/>
      <w:ind w:left="420" w:leftChars="200"/>
    </w:pPr>
  </w:style>
  <w:style w:type="paragraph" w:styleId="4">
    <w:name w:val="Date"/>
    <w:basedOn w:val="1"/>
    <w:next w:val="1"/>
    <w:semiHidden/>
    <w:qFormat/>
    <w:uiPriority w:val="0"/>
    <w:pPr>
      <w:spacing w:before="100" w:beforeAutospacing="1" w:after="100" w:afterAutospacing="1"/>
      <w:ind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next w:val="3"/>
    <w:qFormat/>
    <w:uiPriority w:val="0"/>
    <w:pPr>
      <w:spacing w:before="240" w:after="60"/>
      <w:jc w:val="center"/>
      <w:outlineLvl w:val="0"/>
    </w:pPr>
    <w:rPr>
      <w:rFonts w:ascii="Cambria" w:hAnsi="Cambria" w:cs="Cambria"/>
      <w:b/>
      <w:bCs/>
      <w:sz w:val="32"/>
      <w:szCs w:val="32"/>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2020-09-24T03:10:00Z</dcterms:created>
  <dc:creator>基层战线</dc:creator>
  <cp:lastModifiedBy>孤星映月</cp:lastModifiedBy>
  <cp:lastPrinted>2020-10-15T03:00:00Z</cp:lastPrinted>
  <dcterms:modified xsi:type="dcterms:W3CDTF">2020-10-20T02:17:32Z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