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2022年宿迁市65岁及以上老年人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健康关爱行动实施方案</w:t>
      </w:r>
    </w:p>
    <w:p>
      <w:pPr>
        <w:pStyle w:val="2"/>
        <w:jc w:val="center"/>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高质量推进2022年65岁及以上老年人健康管理项目，提高项目实施规范化水平，落实《国家基本公共卫生服务规范（第三版）》和《宿迁市65岁及以上老年人健康管理质量提升工程工作方案》等要求，结合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年内完成全市47.32万名65岁及以上老年人健康管理服务，65岁及以上老年人城乡社区规范管理服务率达到70%以上（各县区具体目标任务见附件1）。</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服务对象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全市各县（区）辖区内65岁及以上常住居民。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生活方式和健康状况评估、体格检查、辅助检查和健康指导，具体内容参照《国家基本公共卫生服务规范（第三版）》中的《老年人健康管理服务规范》。各县（区）可根据实际增加胸片、甲状腺超声检查、癌胚抗原（CEA）等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服务机构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落实老年人健康管理服务的体检机构实行定点管理，2月底前，县（区）卫健部门应按照《宿迁市65岁及以上老年人健康管理质量提升工程工作方案》要求，开展定点体检机构遴选及校验工作，填写定点体检机构登记表（附件2），并对社会公示，接受监督。各县（区）要依托公立医疗机构建设公立健康体检服务中心，承担65岁及以上老年人、优抚对象等政策性体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经费标准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全市定点体检机构体检服务费用原则上不低于120元，村医管理服务费用原则上不低于30元。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服务流程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（一）宣传发动。</w:t>
      </w:r>
      <w:r>
        <w:rPr>
          <w:rFonts w:hint="default" w:ascii="Times New Roman" w:hAnsi="Times New Roman" w:eastAsia="方正仿宋_GBK" w:cs="Times New Roman"/>
          <w:sz w:val="32"/>
          <w:szCs w:val="32"/>
          <w:lang w:val="en-US" w:eastAsia="zh-CN"/>
        </w:rPr>
        <w:t>市、县（区）、乡镇（街道）制定项目实施具体工作方案，召开动员会议，开展业务培训。乡镇（街道）卫健服务中心加强与村</w:t>
      </w:r>
      <w:r>
        <w:rPr>
          <w:rFonts w:hint="eastAsia"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lang w:val="en-US" w:eastAsia="zh-CN"/>
        </w:rPr>
        <w:t>、派出所等相关部门联系，开展摸底调查，掌握辖区内老年人口信息变化。加强宣传，告知服务内容，了解辖区65岁及以上老年人愿意接受健康管理的人数。准备健康档案记录表（含个人基本信息表、健康体检表），为每位参加健康管理老人准备一个文件夹或文件袋，用以保存完整健康档案，或建立电子档案。</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（二）登记造册。</w:t>
      </w:r>
      <w:r>
        <w:rPr>
          <w:rFonts w:hint="default" w:ascii="Times New Roman" w:hAnsi="Times New Roman" w:eastAsia="方正仿宋_GBK" w:cs="Times New Roman"/>
          <w:kern w:val="2"/>
          <w:sz w:val="32"/>
          <w:szCs w:val="32"/>
          <w:lang w:val="en-US" w:eastAsia="zh-CN" w:bidi="ar-SA"/>
        </w:rPr>
        <w:t>各地全面准确掌握本辖区65岁及以上老年人基本信息，以村级为单位编制老年人健康管理服务花名册（见附件3），并做好健康档案建档及数据更新。要统筹安排人户分离老人的体检，按照档案随人走，遵循老人自愿的原则，及时调整健康档案。健康档案不在本地的，申请将档案迁入或指导老年人到健康档案所在地参加体检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（三）告知服务。</w:t>
      </w:r>
      <w:r>
        <w:rPr>
          <w:rFonts w:hint="default" w:ascii="Times New Roman" w:hAnsi="Times New Roman" w:eastAsia="方正仿宋_GBK" w:cs="Times New Roman"/>
          <w:sz w:val="32"/>
          <w:szCs w:val="32"/>
          <w:lang w:val="en-US" w:eastAsia="zh-CN"/>
        </w:rPr>
        <w:t>县（区）、乡镇</w:t>
      </w:r>
      <w:r>
        <w:rPr>
          <w:rFonts w:hint="default" w:ascii="Times New Roman" w:hAnsi="Times New Roman" w:eastAsia="方正仿宋_GBK" w:cs="Times New Roman"/>
          <w:kern w:val="2"/>
          <w:sz w:val="32"/>
          <w:szCs w:val="32"/>
          <w:lang w:val="en-US" w:eastAsia="zh-CN" w:bidi="ar-SA"/>
        </w:rPr>
        <w:t>（街道）卫健部门与定点</w:t>
      </w:r>
      <w:r>
        <w:rPr>
          <w:rFonts w:hint="default" w:ascii="Times New Roman" w:hAnsi="Times New Roman" w:eastAsia="方正仿宋_GBK" w:cs="Times New Roman"/>
          <w:sz w:val="32"/>
          <w:szCs w:val="32"/>
          <w:lang w:val="en-US" w:eastAsia="zh-CN"/>
        </w:rPr>
        <w:t>体检机构会商，统筹安排好辖区内老人的参检时间。由村级卫生室提前为每名参加服务老人发放体检通知单（见附件4），体检前应提前告知老年人参加体检注意事项。</w:t>
      </w:r>
      <w:r>
        <w:rPr>
          <w:rFonts w:hint="default" w:ascii="Times New Roman" w:hAnsi="Times New Roman" w:eastAsia="方正仿宋_GBK" w:cs="Times New Roman"/>
          <w:kern w:val="2"/>
          <w:sz w:val="32"/>
          <w:szCs w:val="32"/>
          <w:lang w:val="en-US" w:eastAsia="zh-CN" w:bidi="ar-SA"/>
        </w:rPr>
        <w:t>在规定时间内组织老年人到定点体检机构接受服务。</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pacing w:val="-6"/>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（四）组织体检。</w:t>
      </w:r>
      <w:r>
        <w:rPr>
          <w:rFonts w:hint="default" w:ascii="Times New Roman" w:hAnsi="Times New Roman" w:eastAsia="方正仿宋_GBK" w:cs="Times New Roman"/>
          <w:kern w:val="2"/>
          <w:sz w:val="32"/>
          <w:szCs w:val="32"/>
          <w:lang w:val="en-US" w:eastAsia="zh-CN" w:bidi="ar-SA"/>
        </w:rPr>
        <w:t>定点体检机构按照《老年人健康管理技术规范》要求开展健康体检服务，将本次老年人健康体检信息数据通过老年人健康体检信息系统上传到基层卫生管理系统中的老年人电子健康档案，血常规、尿常规、生化等数据必须通过系统自动导入，不得手工录入。定点体检机构符合规定条件的可安排</w:t>
      </w:r>
      <w:r>
        <w:rPr>
          <w:rFonts w:hint="default" w:ascii="Times New Roman" w:hAnsi="Times New Roman" w:eastAsia="方正仿宋_GBK" w:cs="Times New Roman"/>
          <w:spacing w:val="-6"/>
          <w:kern w:val="2"/>
          <w:sz w:val="32"/>
          <w:szCs w:val="32"/>
          <w:lang w:val="en-US" w:eastAsia="zh-CN" w:bidi="ar-SA"/>
        </w:rPr>
        <w:t>移动体检车入村体检，严禁乡镇医院等基层医疗机构携带便携式、无法生成图文报告的简易体检设施设备入村体检。健康体检实行预约制，根据预约人数确定参加医护人员数，建议每单元（一上午或一下午）中，医生、护士、老年人比例为1:1:10。原则上，基层医疗机构（社区卫生服务中心、乡镇医院等一级医疗机构）每日每台（套）设备及各主检医生服务不超过50人次，以保证工作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（五）结果反馈。</w:t>
      </w:r>
      <w:r>
        <w:rPr>
          <w:rFonts w:hint="eastAsia" w:ascii="方正仿宋_GBK" w:hAnsi="方正仿宋_GBK" w:eastAsia="方正仿宋_GBK" w:cs="方正仿宋_GBK"/>
          <w:sz w:val="32"/>
          <w:szCs w:val="32"/>
          <w:lang w:val="en-US" w:eastAsia="zh-CN"/>
        </w:rPr>
        <w:t>定点体检机构按照规定，认真审核体检结果，完善体检建议，安排专人复核把关，体检之日起10日内将体检报告发送至体检老人所在乡镇（街道）卫健服务中心，由村医核对信息后10日内向本人发放体检报告及健康指导意见书（附件5），开展面对面健康指导，并留存签收记录。定点体检机构在检查检验现场发现老人有异常情况（包括症状、检查异常、存在危险因素等）的，应立即告知，并反馈给乡镇（街道）卫健服务中心和村医，指导做好健康跟踪服务。对评估中发现问题须转诊的老年人，基层医生要在两周内随访，并上报随访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（六）跟踪管理。</w:t>
      </w:r>
      <w:r>
        <w:rPr>
          <w:rFonts w:hint="eastAsia" w:ascii="方正仿宋_GBK" w:hAnsi="方正仿宋_GBK" w:eastAsia="方正仿宋_GBK" w:cs="方正仿宋_GBK"/>
          <w:sz w:val="32"/>
          <w:szCs w:val="32"/>
          <w:lang w:val="en-US" w:eastAsia="zh-CN"/>
        </w:rPr>
        <w:t>村级卫生室对已经参加本年度体检的老人，要根据情况进行跟踪管理，健康老人纳入健康教育范围，慢病老人纳入慢病管理范围，定期随访，其他患病老人纳入转诊服务范围。及时掌握老人生活动态，了解老人健康状况，根据老人健康变化实际及时调整管理信息。乡镇（街道）卫健服务中心要定期分析数据质量，督促村级工作进度。县（区）卫健部门要做好65岁及以上老人体检各部门信息共享工作，杜绝重复体检，定期对乡镇（街道）工作进行督导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（一）宣传发动阶段（2月底前）。</w:t>
      </w:r>
      <w:r>
        <w:rPr>
          <w:rFonts w:hint="default" w:ascii="Times New Roman" w:hAnsi="Times New Roman" w:eastAsia="方正仿宋_GBK" w:cs="Times New Roman"/>
          <w:sz w:val="32"/>
          <w:szCs w:val="32"/>
          <w:lang w:val="en-US" w:eastAsia="zh-CN"/>
        </w:rPr>
        <w:t>市、县（区）制定项目实施方案，组织业务培训，遴选定点体检机构并对社会公示，接受监督。定点体检机构按照要求制定体检工作实施计划，更新完善体检设施设备并安装老年人健康体检信息系统，配齐医护和检查检验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（二）组织实施阶段（11月底前）</w:t>
      </w:r>
      <w:r>
        <w:rPr>
          <w:rFonts w:hint="default" w:ascii="Times New Roman" w:hAnsi="Times New Roman" w:eastAsia="方正仿宋_GBK" w:cs="Times New Roman"/>
          <w:spacing w:val="-6"/>
          <w:sz w:val="32"/>
          <w:szCs w:val="32"/>
          <w:lang w:val="en-US" w:eastAsia="zh-CN"/>
        </w:rPr>
        <w:t>。各级卫健部门及各定点体检机构按照实施方案及工作计划开展体检服务。3月底前确保完成全年任务的10%以上，6月底前完成全年任务的60%以上，9月底前完成全年任务的80%以上，11月底前基本完成全年工作任务。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（三）总结评估阶段（12月底前）。</w:t>
      </w:r>
      <w:r>
        <w:rPr>
          <w:rFonts w:hint="default" w:ascii="Times New Roman" w:hAnsi="Times New Roman" w:eastAsia="方正仿宋_GBK" w:cs="Times New Roman"/>
          <w:sz w:val="32"/>
          <w:szCs w:val="32"/>
          <w:lang w:val="en-US" w:eastAsia="zh-CN"/>
        </w:rPr>
        <w:t>市、县（区）组织年度老年人健康管理服务项目绩效评价，开展项目总结评估。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1.加强组织领导。</w:t>
      </w:r>
      <w:r>
        <w:rPr>
          <w:rFonts w:hint="default" w:ascii="Times New Roman" w:hAnsi="Times New Roman" w:eastAsia="方正仿宋_GBK" w:cs="Times New Roman"/>
          <w:sz w:val="32"/>
          <w:szCs w:val="32"/>
          <w:lang w:val="en-US" w:eastAsia="zh-CN"/>
        </w:rPr>
        <w:t>成立项目工作组和技术指导组（见附件6）。为保障项目顺利实施，成立由市卫健委二级调研员李春美任组长的宿迁市65岁及以上老年人健康管理项目工作组，负责项目的组织领导、统筹协调、业务培训、监督指导等工作。工作组下设技术指导组，负责技术支持、健康教育、考核评估，监督指导等具体工作落实。各县（区）、乡镇（街道）卫健部门要成立相应机构并安排专人负责项目实施，承担项目组织管理和业务技术指导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2.加强督导考核。2022年</w:t>
      </w:r>
      <w:r>
        <w:rPr>
          <w:rFonts w:hint="default" w:ascii="Times New Roman" w:hAnsi="Times New Roman" w:eastAsia="方正仿宋_GBK" w:cs="Times New Roman"/>
          <w:sz w:val="32"/>
          <w:szCs w:val="32"/>
          <w:lang w:val="en-US" w:eastAsia="zh-CN"/>
        </w:rPr>
        <w:t>高质量完成65岁及以上老年健康管理工作被列入市政府对县（区）政府考核内容。市级每年组织绩效评价2次，市级技术指导组每季度开展1次项目督导，考核评估项目规范管理及组织实施情况，考核结果纳入基本公共卫生服务项目绩效评价内容。县（区）卫健部门应每月开展体检流程质量控制情况督导，实行季度考核。乡镇（街道）卫健服务中心要对定点体检机构体检组织情况进行全程督导，每月抽取不少于三分之一村（居），每村（居）抽取不少于30名体检对象进行调查访谈，并形成督查工作档案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3.严控体检质量。</w:t>
      </w:r>
      <w:r>
        <w:rPr>
          <w:rFonts w:hint="default" w:ascii="Times New Roman" w:hAnsi="Times New Roman" w:eastAsia="方正仿宋_GBK" w:cs="Times New Roman"/>
          <w:sz w:val="32"/>
          <w:szCs w:val="32"/>
          <w:lang w:val="en-US" w:eastAsia="zh-CN"/>
        </w:rPr>
        <w:t>各县（区）要依托公立健康体检服务中心</w:t>
      </w:r>
      <w:r>
        <w:rPr>
          <w:rFonts w:hint="default" w:ascii="Times New Roman" w:hAnsi="Times New Roman" w:eastAsia="方正仿宋_GBK" w:cs="Times New Roman"/>
          <w:spacing w:val="-6"/>
          <w:sz w:val="32"/>
          <w:szCs w:val="32"/>
          <w:lang w:val="en-US" w:eastAsia="zh-CN"/>
        </w:rPr>
        <w:t>建立区域医学检验实验室、病理诊断中心、医学影像中心，建立健全体检质量控制体系，强化对基层健康体检的质量管理。市临床检验中心将定期开展检验人员培训，常态化开展临床检验质控管理。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4.强化疫情防控。</w:t>
      </w:r>
      <w:r>
        <w:rPr>
          <w:rFonts w:hint="default" w:ascii="Times New Roman" w:hAnsi="Times New Roman" w:eastAsia="方正仿宋_GBK" w:cs="Times New Roman"/>
          <w:sz w:val="32"/>
          <w:szCs w:val="32"/>
          <w:lang w:val="en-US" w:eastAsia="zh-CN"/>
        </w:rPr>
        <w:t>各级卫生健康部门、各定点体检机构、村级卫生室等，在组织老年人健康体检过程中，严格实行健康监测制度，落实医护人员和体检老人防护措施，严格服务场所消杀，精准控制每日体检人流量，主动筛查可疑人员，落实疫情防控各项工作要求，维护老年健康体检秩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宿迁市2022年65岁及以上老年人健康管理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目标任务分解表</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 单位：人）</w:t>
      </w:r>
    </w:p>
    <w:tbl>
      <w:tblPr>
        <w:tblStyle w:val="6"/>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2584"/>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县区</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65岁及以上老年人口数</w:t>
            </w:r>
          </w:p>
        </w:tc>
        <w:tc>
          <w:tcPr>
            <w:tcW w:w="30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2022年</w:t>
            </w:r>
            <w:r>
              <w:rPr>
                <w:rFonts w:hint="default" w:ascii="Times New Roman" w:hAnsi="Times New Roman" w:eastAsia="黑体" w:cs="Times New Roman"/>
                <w:sz w:val="32"/>
                <w:szCs w:val="32"/>
                <w:lang w:val="en-US" w:eastAsia="zh-CN"/>
              </w:rPr>
              <w:t>65岁及以上老年人健康管理任务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沭阳县</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223902</w:t>
            </w:r>
          </w:p>
        </w:tc>
        <w:tc>
          <w:tcPr>
            <w:tcW w:w="3098" w:type="dxa"/>
            <w:vAlign w:val="center"/>
          </w:tcPr>
          <w:p>
            <w:pPr>
              <w:keepNext w:val="0"/>
              <w:keepLines w:val="0"/>
              <w:widowControl/>
              <w:suppressLineNumbers w:val="0"/>
              <w:jc w:val="center"/>
              <w:textAlignment w:val="top"/>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156800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泗阳县</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126086</w:t>
            </w:r>
          </w:p>
        </w:tc>
        <w:tc>
          <w:tcPr>
            <w:tcW w:w="3098" w:type="dxa"/>
            <w:vAlign w:val="center"/>
          </w:tcPr>
          <w:p>
            <w:pPr>
              <w:keepNext w:val="0"/>
              <w:keepLines w:val="0"/>
              <w:widowControl/>
              <w:suppressLineNumbers w:val="0"/>
              <w:jc w:val="center"/>
              <w:textAlignment w:val="top"/>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88300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泗洪县</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122412</w:t>
            </w:r>
          </w:p>
        </w:tc>
        <w:tc>
          <w:tcPr>
            <w:tcW w:w="3098" w:type="dxa"/>
            <w:vAlign w:val="center"/>
          </w:tcPr>
          <w:p>
            <w:pPr>
              <w:keepNext w:val="0"/>
              <w:keepLines w:val="0"/>
              <w:widowControl/>
              <w:suppressLineNumbers w:val="0"/>
              <w:jc w:val="center"/>
              <w:textAlignment w:val="top"/>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85700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宿豫区</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61435</w:t>
            </w:r>
          </w:p>
        </w:tc>
        <w:tc>
          <w:tcPr>
            <w:tcW w:w="3098" w:type="dxa"/>
            <w:vAlign w:val="center"/>
          </w:tcPr>
          <w:p>
            <w:pPr>
              <w:keepNext w:val="0"/>
              <w:keepLines w:val="0"/>
              <w:widowControl/>
              <w:suppressLineNumbers w:val="0"/>
              <w:jc w:val="center"/>
              <w:textAlignment w:val="top"/>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宿城区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（含苏宿园区）</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81578</w:t>
            </w:r>
          </w:p>
        </w:tc>
        <w:tc>
          <w:tcPr>
            <w:tcW w:w="3098" w:type="dxa"/>
            <w:vAlign w:val="center"/>
          </w:tcPr>
          <w:p>
            <w:pPr>
              <w:keepNext w:val="0"/>
              <w:keepLines w:val="0"/>
              <w:widowControl/>
              <w:suppressLineNumbers w:val="0"/>
              <w:jc w:val="center"/>
              <w:textAlignment w:val="top"/>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57100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宿迁经济技术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开发区</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18013</w:t>
            </w:r>
          </w:p>
        </w:tc>
        <w:tc>
          <w:tcPr>
            <w:tcW w:w="3098" w:type="dxa"/>
            <w:vAlign w:val="center"/>
          </w:tcPr>
          <w:p>
            <w:pPr>
              <w:keepNext w:val="0"/>
              <w:keepLines w:val="0"/>
              <w:widowControl/>
              <w:suppressLineNumbers w:val="0"/>
              <w:jc w:val="center"/>
              <w:textAlignment w:val="top"/>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市湖滨新区</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20098</w:t>
            </w:r>
          </w:p>
        </w:tc>
        <w:tc>
          <w:tcPr>
            <w:tcW w:w="3098" w:type="dxa"/>
            <w:vAlign w:val="center"/>
          </w:tcPr>
          <w:p>
            <w:pPr>
              <w:keepNext w:val="0"/>
              <w:keepLines w:val="0"/>
              <w:widowControl/>
              <w:suppressLineNumbers w:val="0"/>
              <w:jc w:val="center"/>
              <w:textAlignment w:val="top"/>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市洋河新区</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22458</w:t>
            </w:r>
          </w:p>
        </w:tc>
        <w:tc>
          <w:tcPr>
            <w:tcW w:w="3098" w:type="dxa"/>
            <w:vAlign w:val="center"/>
          </w:tcPr>
          <w:p>
            <w:pPr>
              <w:keepNext w:val="0"/>
              <w:keepLines w:val="0"/>
              <w:widowControl/>
              <w:suppressLineNumbers w:val="0"/>
              <w:jc w:val="center"/>
              <w:textAlignment w:val="top"/>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15700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合</w:t>
            </w:r>
            <w:r>
              <w:rPr>
                <w:rFonts w:hint="eastAsia"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val="en-US" w:eastAsia="zh-CN"/>
              </w:rPr>
              <w:t>计</w:t>
            </w:r>
          </w:p>
        </w:tc>
        <w:tc>
          <w:tcPr>
            <w:tcW w:w="2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675982</w:t>
            </w:r>
          </w:p>
        </w:tc>
        <w:tc>
          <w:tcPr>
            <w:tcW w:w="30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473200</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备注：各县（区）65岁及以上老年人口数均以七普数据为测算底数。</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531" w:bottom="1757" w:left="1531" w:header="851" w:footer="1247"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tbl>
      <w:tblPr>
        <w:tblStyle w:val="5"/>
        <w:tblW w:w="14775" w:type="dxa"/>
        <w:jc w:val="center"/>
        <w:tblLayout w:type="fixed"/>
        <w:tblCellMar>
          <w:top w:w="0" w:type="dxa"/>
          <w:left w:w="108" w:type="dxa"/>
          <w:bottom w:w="0" w:type="dxa"/>
          <w:right w:w="108" w:type="dxa"/>
        </w:tblCellMar>
      </w:tblPr>
      <w:tblGrid>
        <w:gridCol w:w="704"/>
        <w:gridCol w:w="1050"/>
        <w:gridCol w:w="961"/>
        <w:gridCol w:w="1620"/>
        <w:gridCol w:w="720"/>
        <w:gridCol w:w="3060"/>
        <w:gridCol w:w="1800"/>
        <w:gridCol w:w="1233"/>
        <w:gridCol w:w="1219"/>
        <w:gridCol w:w="1148"/>
        <w:gridCol w:w="1260"/>
      </w:tblGrid>
      <w:tr>
        <w:tblPrEx>
          <w:tblCellMar>
            <w:top w:w="0" w:type="dxa"/>
            <w:left w:w="108" w:type="dxa"/>
            <w:bottom w:w="0" w:type="dxa"/>
            <w:right w:w="108" w:type="dxa"/>
          </w:tblCellMar>
        </w:tblPrEx>
        <w:trPr>
          <w:trHeight w:val="645" w:hRule="atLeast"/>
          <w:jc w:val="center"/>
        </w:trPr>
        <w:tc>
          <w:tcPr>
            <w:tcW w:w="14775" w:type="dxa"/>
            <w:gridSpan w:val="11"/>
            <w:tcBorders>
              <w:top w:val="nil"/>
              <w:left w:val="nil"/>
              <w:bottom w:val="nil"/>
              <w:right w:val="nil"/>
            </w:tcBorders>
            <w:noWrap/>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方正小标宋_GBK" w:cs="Times New Roman"/>
                <w:sz w:val="44"/>
                <w:szCs w:val="44"/>
                <w:u w:val="none"/>
                <w:lang w:val="en-US" w:eastAsia="zh-CN"/>
              </w:rPr>
              <w:t>宿迁市65岁及以上老年人健康管理定点体检机构登记表</w:t>
            </w:r>
          </w:p>
        </w:tc>
      </w:tr>
      <w:tr>
        <w:tblPrEx>
          <w:tblCellMar>
            <w:top w:w="0" w:type="dxa"/>
            <w:left w:w="108" w:type="dxa"/>
            <w:bottom w:w="0" w:type="dxa"/>
            <w:right w:w="108" w:type="dxa"/>
          </w:tblCellMar>
        </w:tblPrEx>
        <w:trPr>
          <w:trHeight w:val="1320"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序号</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县</w:t>
            </w:r>
            <w:r>
              <w:rPr>
                <w:rFonts w:hint="eastAsia" w:ascii="Times New Roman" w:hAnsi="Times New Roman" w:eastAsia="黑体" w:cs="Times New Roman"/>
                <w:sz w:val="21"/>
                <w:szCs w:val="21"/>
                <w:vertAlign w:val="baseline"/>
                <w:lang w:val="en-US" w:eastAsia="zh-CN"/>
              </w:rPr>
              <w:t>（</w:t>
            </w:r>
            <w:r>
              <w:rPr>
                <w:rFonts w:hint="default" w:ascii="Times New Roman" w:hAnsi="Times New Roman" w:eastAsia="黑体" w:cs="Times New Roman"/>
                <w:sz w:val="21"/>
                <w:szCs w:val="21"/>
                <w:vertAlign w:val="baseline"/>
                <w:lang w:val="en-US" w:eastAsia="zh-CN"/>
              </w:rPr>
              <w:t>区</w:t>
            </w:r>
            <w:r>
              <w:rPr>
                <w:rFonts w:hint="eastAsia" w:ascii="Times New Roman" w:hAnsi="Times New Roman" w:eastAsia="黑体" w:cs="Times New Roman"/>
                <w:sz w:val="21"/>
                <w:szCs w:val="21"/>
                <w:vertAlign w:val="baseline"/>
                <w:lang w:val="en-US" w:eastAsia="zh-CN"/>
              </w:rPr>
              <w:t>）</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乡镇 （街道）</w:t>
            </w:r>
          </w:p>
        </w:tc>
        <w:tc>
          <w:tcPr>
            <w:tcW w:w="16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定点体检机构名称</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等级</w:t>
            </w: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医护人员及卫技人员配备情况（附人员姓名、专业技术职称等信息）</w:t>
            </w:r>
          </w:p>
        </w:tc>
        <w:tc>
          <w:tcPr>
            <w:tcW w:w="18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检查检验设备清单（附品牌型号）</w:t>
            </w:r>
          </w:p>
        </w:tc>
        <w:tc>
          <w:tcPr>
            <w:tcW w:w="123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是否安装老年人健康体检系统</w:t>
            </w:r>
          </w:p>
        </w:tc>
        <w:tc>
          <w:tcPr>
            <w:tcW w:w="121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联系人及联系方式</w:t>
            </w:r>
          </w:p>
        </w:tc>
        <w:tc>
          <w:tcPr>
            <w:tcW w:w="114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定点机构验收时间</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定点机构校验时间</w:t>
            </w:r>
          </w:p>
        </w:tc>
      </w:tr>
      <w:tr>
        <w:tblPrEx>
          <w:tblCellMar>
            <w:top w:w="0" w:type="dxa"/>
            <w:left w:w="108" w:type="dxa"/>
            <w:bottom w:w="0" w:type="dxa"/>
            <w:right w:w="108" w:type="dxa"/>
          </w:tblCellMar>
        </w:tblPrEx>
        <w:trPr>
          <w:trHeight w:val="488"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eastAsia="zh-CN"/>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eastAsia="zh-CN"/>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eastAsia="zh-CN"/>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val="en-US" w:eastAsia="zh-CN"/>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eastAsia="zh-CN"/>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eastAsia="zh-CN"/>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eastAsia="zh-CN"/>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val="en-US" w:eastAsia="zh-CN"/>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val="en-US" w:eastAsia="zh-CN"/>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lang w:val="en-US" w:eastAsia="zh-CN"/>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05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9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6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30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8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3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1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14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c>
          <w:tcPr>
            <w:tcW w:w="1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2"/>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宿迁市</w:t>
      </w:r>
      <w:r>
        <w:rPr>
          <w:rFonts w:hint="default" w:ascii="Times New Roman" w:hAnsi="Times New Roman" w:eastAsia="方正小标宋_GBK" w:cs="Times New Roman"/>
          <w:sz w:val="32"/>
          <w:szCs w:val="32"/>
          <w:u w:val="single"/>
          <w:lang w:val="en-US" w:eastAsia="zh-CN"/>
        </w:rPr>
        <w:t xml:space="preserve">       </w:t>
      </w:r>
      <w:r>
        <w:rPr>
          <w:rFonts w:hint="default" w:ascii="Times New Roman" w:hAnsi="Times New Roman" w:eastAsia="方正小标宋_GBK" w:cs="Times New Roman"/>
          <w:sz w:val="32"/>
          <w:szCs w:val="32"/>
          <w:lang w:val="en-US" w:eastAsia="zh-CN"/>
        </w:rPr>
        <w:t>县（区）</w:t>
      </w:r>
      <w:r>
        <w:rPr>
          <w:rFonts w:hint="default" w:ascii="Times New Roman" w:hAnsi="Times New Roman" w:eastAsia="方正小标宋_GBK" w:cs="Times New Roman"/>
          <w:sz w:val="32"/>
          <w:szCs w:val="32"/>
          <w:u w:val="single"/>
          <w:lang w:val="en-US" w:eastAsia="zh-CN"/>
        </w:rPr>
        <w:t xml:space="preserve">       </w:t>
      </w:r>
      <w:r>
        <w:rPr>
          <w:rFonts w:hint="default" w:ascii="Times New Roman" w:hAnsi="Times New Roman" w:eastAsia="方正小标宋_GBK" w:cs="Times New Roman"/>
          <w:sz w:val="32"/>
          <w:szCs w:val="32"/>
          <w:lang w:val="en-US" w:eastAsia="zh-CN"/>
        </w:rPr>
        <w:t>乡镇（街道）</w:t>
      </w:r>
      <w:r>
        <w:rPr>
          <w:rFonts w:hint="default" w:ascii="Times New Roman" w:hAnsi="Times New Roman" w:eastAsia="方正小标宋_GBK" w:cs="Times New Roman"/>
          <w:sz w:val="32"/>
          <w:szCs w:val="32"/>
          <w:u w:val="single"/>
          <w:lang w:val="en-US" w:eastAsia="zh-CN"/>
        </w:rPr>
        <w:t xml:space="preserve">      </w:t>
      </w:r>
      <w:r>
        <w:rPr>
          <w:rFonts w:hint="default" w:ascii="Times New Roman" w:hAnsi="Times New Roman" w:eastAsia="方正小标宋_GBK" w:cs="Times New Roman"/>
          <w:sz w:val="32"/>
          <w:szCs w:val="32"/>
          <w:lang w:val="en-US" w:eastAsia="zh-CN"/>
        </w:rPr>
        <w:t>村居65岁及以上老年人健康管理服务花名册</w:t>
      </w:r>
    </w:p>
    <w:tbl>
      <w:tblPr>
        <w:tblStyle w:val="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75"/>
        <w:gridCol w:w="690"/>
        <w:gridCol w:w="1266"/>
        <w:gridCol w:w="1869"/>
        <w:gridCol w:w="1337"/>
        <w:gridCol w:w="1110"/>
        <w:gridCol w:w="1320"/>
        <w:gridCol w:w="1590"/>
        <w:gridCol w:w="1110"/>
        <w:gridCol w:w="142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序号</w:t>
            </w:r>
          </w:p>
        </w:tc>
        <w:tc>
          <w:tcPr>
            <w:tcW w:w="975"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姓名</w:t>
            </w:r>
          </w:p>
        </w:tc>
        <w:tc>
          <w:tcPr>
            <w:tcW w:w="690"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性别</w:t>
            </w:r>
          </w:p>
        </w:tc>
        <w:tc>
          <w:tcPr>
            <w:tcW w:w="1266"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联系电话</w:t>
            </w:r>
          </w:p>
        </w:tc>
        <w:tc>
          <w:tcPr>
            <w:tcW w:w="1869"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身份证号码</w:t>
            </w:r>
          </w:p>
        </w:tc>
        <w:tc>
          <w:tcPr>
            <w:tcW w:w="1337"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居住地址</w:t>
            </w:r>
          </w:p>
        </w:tc>
        <w:tc>
          <w:tcPr>
            <w:tcW w:w="1110"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体检日期</w:t>
            </w:r>
          </w:p>
        </w:tc>
        <w:tc>
          <w:tcPr>
            <w:tcW w:w="1320"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体检机构</w:t>
            </w:r>
          </w:p>
        </w:tc>
        <w:tc>
          <w:tcPr>
            <w:tcW w:w="1590"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体检结果</w:t>
            </w:r>
          </w:p>
        </w:tc>
        <w:tc>
          <w:tcPr>
            <w:tcW w:w="1110"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体检报告发放日期</w:t>
            </w:r>
          </w:p>
        </w:tc>
        <w:tc>
          <w:tcPr>
            <w:tcW w:w="1425"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体检报告  接收人签名</w:t>
            </w:r>
          </w:p>
        </w:tc>
        <w:tc>
          <w:tcPr>
            <w:tcW w:w="1020" w:type="dxa"/>
            <w:vAlign w:val="center"/>
          </w:tcPr>
          <w:p>
            <w:pPr>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35" w:type="dxa"/>
            <w:vAlign w:val="center"/>
          </w:tcPr>
          <w:p>
            <w:pPr>
              <w:jc w:val="center"/>
              <w:rPr>
                <w:rFonts w:hint="default" w:ascii="Times New Roman" w:hAnsi="Times New Roman" w:eastAsia="方正仿宋_GBK" w:cs="Times New Roman"/>
                <w:sz w:val="28"/>
                <w:szCs w:val="28"/>
                <w:vertAlign w:val="baseline"/>
                <w:lang w:eastAsia="zh-CN"/>
              </w:rPr>
            </w:pPr>
          </w:p>
        </w:tc>
        <w:tc>
          <w:tcPr>
            <w:tcW w:w="975" w:type="dxa"/>
            <w:vAlign w:val="center"/>
          </w:tcPr>
          <w:p>
            <w:pPr>
              <w:jc w:val="center"/>
              <w:rPr>
                <w:rFonts w:hint="default" w:ascii="Times New Roman" w:hAnsi="Times New Roman" w:eastAsia="方正仿宋_GBK" w:cs="Times New Roman"/>
                <w:sz w:val="28"/>
                <w:szCs w:val="28"/>
                <w:vertAlign w:val="baseline"/>
                <w:lang w:eastAsia="zh-CN"/>
              </w:rPr>
            </w:pPr>
          </w:p>
        </w:tc>
        <w:tc>
          <w:tcPr>
            <w:tcW w:w="690" w:type="dxa"/>
            <w:vAlign w:val="center"/>
          </w:tcPr>
          <w:p>
            <w:pPr>
              <w:jc w:val="center"/>
              <w:rPr>
                <w:rFonts w:hint="default" w:ascii="Times New Roman" w:hAnsi="Times New Roman" w:eastAsia="方正仿宋_GBK" w:cs="Times New Roman"/>
                <w:sz w:val="28"/>
                <w:szCs w:val="28"/>
                <w:vertAlign w:val="baseline"/>
                <w:lang w:eastAsia="zh-CN"/>
              </w:rPr>
            </w:pPr>
          </w:p>
        </w:tc>
        <w:tc>
          <w:tcPr>
            <w:tcW w:w="1266" w:type="dxa"/>
            <w:vAlign w:val="center"/>
          </w:tcPr>
          <w:p>
            <w:pPr>
              <w:jc w:val="center"/>
              <w:rPr>
                <w:rFonts w:hint="default" w:ascii="Times New Roman" w:hAnsi="Times New Roman" w:eastAsia="方正仿宋_GBK" w:cs="Times New Roman"/>
                <w:sz w:val="28"/>
                <w:szCs w:val="28"/>
                <w:vertAlign w:val="baseline"/>
                <w:lang w:eastAsia="zh-CN"/>
              </w:rPr>
            </w:pPr>
          </w:p>
        </w:tc>
        <w:tc>
          <w:tcPr>
            <w:tcW w:w="1869" w:type="dxa"/>
            <w:vAlign w:val="center"/>
          </w:tcPr>
          <w:p>
            <w:pPr>
              <w:jc w:val="center"/>
              <w:rPr>
                <w:rFonts w:hint="default" w:ascii="Times New Roman" w:hAnsi="Times New Roman" w:eastAsia="方正仿宋_GBK" w:cs="Times New Roman"/>
                <w:sz w:val="28"/>
                <w:szCs w:val="28"/>
                <w:vertAlign w:val="baseline"/>
                <w:lang w:eastAsia="zh-CN"/>
              </w:rPr>
            </w:pPr>
          </w:p>
        </w:tc>
        <w:tc>
          <w:tcPr>
            <w:tcW w:w="1337"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320" w:type="dxa"/>
            <w:vAlign w:val="center"/>
          </w:tcPr>
          <w:p>
            <w:pPr>
              <w:jc w:val="center"/>
              <w:rPr>
                <w:rFonts w:hint="default" w:ascii="Times New Roman" w:hAnsi="Times New Roman" w:eastAsia="方正仿宋_GBK" w:cs="Times New Roman"/>
                <w:sz w:val="28"/>
                <w:szCs w:val="28"/>
                <w:vertAlign w:val="baseline"/>
                <w:lang w:eastAsia="zh-CN"/>
              </w:rPr>
            </w:pPr>
          </w:p>
        </w:tc>
        <w:tc>
          <w:tcPr>
            <w:tcW w:w="1590" w:type="dxa"/>
            <w:vAlign w:val="center"/>
          </w:tcPr>
          <w:p>
            <w:pPr>
              <w:jc w:val="center"/>
              <w:rPr>
                <w:rFonts w:hint="default" w:ascii="Times New Roman" w:hAnsi="Times New Roman" w:eastAsia="方正仿宋_GBK" w:cs="Times New Roman"/>
                <w:sz w:val="28"/>
                <w:szCs w:val="28"/>
                <w:vertAlign w:val="baseline"/>
                <w:lang w:eastAsia="zh-CN"/>
              </w:rPr>
            </w:pPr>
          </w:p>
        </w:tc>
        <w:tc>
          <w:tcPr>
            <w:tcW w:w="1110" w:type="dxa"/>
            <w:vAlign w:val="center"/>
          </w:tcPr>
          <w:p>
            <w:pPr>
              <w:jc w:val="center"/>
              <w:rPr>
                <w:rFonts w:hint="default" w:ascii="Times New Roman" w:hAnsi="Times New Roman" w:eastAsia="方正仿宋_GBK" w:cs="Times New Roman"/>
                <w:sz w:val="28"/>
                <w:szCs w:val="28"/>
                <w:vertAlign w:val="baseline"/>
                <w:lang w:eastAsia="zh-CN"/>
              </w:rPr>
            </w:pPr>
          </w:p>
        </w:tc>
        <w:tc>
          <w:tcPr>
            <w:tcW w:w="1425" w:type="dxa"/>
            <w:vAlign w:val="center"/>
          </w:tcPr>
          <w:p>
            <w:pPr>
              <w:jc w:val="center"/>
              <w:rPr>
                <w:rFonts w:hint="default" w:ascii="Times New Roman" w:hAnsi="Times New Roman" w:eastAsia="方正仿宋_GBK" w:cs="Times New Roman"/>
                <w:sz w:val="28"/>
                <w:szCs w:val="28"/>
                <w:vertAlign w:val="baseline"/>
                <w:lang w:eastAsia="zh-CN"/>
              </w:rPr>
            </w:pPr>
          </w:p>
        </w:tc>
        <w:tc>
          <w:tcPr>
            <w:tcW w:w="1020" w:type="dxa"/>
            <w:vAlign w:val="center"/>
          </w:tcPr>
          <w:p>
            <w:pPr>
              <w:jc w:val="center"/>
              <w:rPr>
                <w:rFonts w:hint="default" w:ascii="Times New Roman" w:hAnsi="Times New Roman" w:eastAsia="方正仿宋_GBK" w:cs="Times New Roman"/>
                <w:sz w:val="28"/>
                <w:szCs w:val="28"/>
                <w:vertAlign w:val="baseline"/>
                <w:lang w:eastAsia="zh-CN"/>
              </w:rPr>
            </w:pPr>
          </w:p>
        </w:tc>
      </w:tr>
    </w:tbl>
    <w:p>
      <w:pPr>
        <w:rPr>
          <w:rFonts w:hint="default" w:ascii="Times New Roman" w:hAnsi="Times New Roman" w:cs="Times New Roman"/>
          <w:sz w:val="32"/>
          <w:szCs w:val="32"/>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r>
        <w:rPr>
          <w:rFonts w:hint="default" w:ascii="Times New Roman" w:hAnsi="Times New Roman" w:eastAsia="仿宋_GB2312" w:cs="Times New Roman"/>
          <w:b/>
          <w:spacing w:val="20"/>
          <w:kern w:val="11"/>
          <w:sz w:val="32"/>
        </w:rPr>
        <w:br w:type="page"/>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65岁及以上老年人健康体检通知单</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根据年度65岁及以上老年人健康管理工作安排，现通知您携带身份证于</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日至</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日到</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（地址：</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lang w:val="en-US" w:eastAsia="zh-CN"/>
        </w:rPr>
        <w:t>参加健康体检，体检报告请于体检结束二十日后到</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卫生室</w:t>
      </w:r>
    </w:p>
    <w:p>
      <w:pPr>
        <w:keepNext w:val="0"/>
        <w:keepLines w:val="0"/>
        <w:pageBreakBefore w:val="0"/>
        <w:widowControl w:val="0"/>
        <w:kinsoku/>
        <w:wordWrap/>
        <w:overflowPunct/>
        <w:topLinePunct w:val="0"/>
        <w:autoSpaceDE/>
        <w:autoSpaceDN/>
        <w:bidi w:val="0"/>
        <w:adjustRightInd/>
        <w:snapToGrid/>
        <w:spacing w:line="580" w:lineRule="exact"/>
        <w:ind w:firstLine="88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仿宋_GBK" w:cs="Times New Roman"/>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体检前注意事项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1.体检前7天尽量低脂饮食，前3天禁酒，</w:t>
      </w:r>
      <w:r>
        <w:rPr>
          <w:rFonts w:hint="default" w:ascii="Times New Roman" w:hAnsi="Times New Roman" w:eastAsia="方正仿宋_GBK" w:cs="Times New Roman"/>
          <w:i w:val="0"/>
          <w:iCs w:val="0"/>
          <w:caps w:val="0"/>
          <w:color w:val="333333"/>
          <w:spacing w:val="0"/>
          <w:sz w:val="32"/>
          <w:szCs w:val="32"/>
          <w:shd w:val="clear" w:fill="FFFFFF"/>
        </w:rPr>
        <w:t>避免暴饮暴食和剧烈运动、熬夜等特殊情况</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2.体检当天尽量保留晨尿；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3.体检当天应空腹，</w:t>
      </w:r>
      <w:r>
        <w:rPr>
          <w:rFonts w:hint="default" w:ascii="Times New Roman" w:hAnsi="Times New Roman" w:eastAsia="方正仿宋_GBK" w:cs="Times New Roman"/>
          <w:i w:val="0"/>
          <w:iCs w:val="0"/>
          <w:caps w:val="0"/>
          <w:color w:val="333333"/>
          <w:spacing w:val="0"/>
          <w:sz w:val="32"/>
          <w:szCs w:val="32"/>
          <w:shd w:val="clear" w:fill="FFFFFF"/>
          <w:lang w:val="en-US" w:eastAsia="zh-CN"/>
        </w:rPr>
        <w:t>尽量保持</w:t>
      </w:r>
      <w:r>
        <w:rPr>
          <w:rFonts w:hint="default" w:ascii="Times New Roman" w:hAnsi="Times New Roman" w:eastAsia="方正仿宋_GBK" w:cs="Times New Roman"/>
          <w:i w:val="0"/>
          <w:iCs w:val="0"/>
          <w:caps w:val="0"/>
          <w:color w:val="333333"/>
          <w:spacing w:val="0"/>
          <w:sz w:val="32"/>
          <w:szCs w:val="32"/>
          <w:shd w:val="clear" w:fill="FFFFFF"/>
        </w:rPr>
        <w:t>空腹8-12个小时</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sz w:val="32"/>
          <w:szCs w:val="32"/>
          <w:lang w:val="en-US" w:eastAsia="zh-CN"/>
        </w:rPr>
        <w:t>采血后方可进食；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部分慢性病患者，如糖尿病、高血压，</w:t>
      </w:r>
      <w:r>
        <w:rPr>
          <w:rFonts w:hint="default" w:ascii="Times New Roman" w:hAnsi="Times New Roman" w:eastAsia="方正仿宋_GBK" w:cs="Times New Roman"/>
          <w:i w:val="0"/>
          <w:iCs w:val="0"/>
          <w:caps w:val="0"/>
          <w:color w:val="333333"/>
          <w:spacing w:val="0"/>
          <w:sz w:val="32"/>
          <w:szCs w:val="32"/>
          <w:shd w:val="clear" w:fill="FFFFFF"/>
          <w:lang w:val="en-US" w:eastAsia="zh-CN"/>
        </w:rPr>
        <w:t>不要贸然停药，正常服药参加体检。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村（居）联系人：              联系电话：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体检机构联系人：              联系电话：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65岁及以上老年人健康指导意见书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以下是您本次体检异常结果的汇总分析及健康指导建议，希望您认真阅读和对待医生提出的每一项建议。祝您健康幸福！</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本次体检中存在的异常情况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健康指导建议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ind w:firstLine="560" w:firstLineChars="200"/>
        <w:rPr>
          <w:rFonts w:hint="default" w:ascii="Times New Roman" w:hAnsi="Times New Roman" w:eastAsia="楷体" w:cs="Times New Roman"/>
          <w:sz w:val="28"/>
          <w:szCs w:val="28"/>
          <w:lang w:bidi="ar-SA"/>
        </w:rPr>
      </w:pPr>
      <w:r>
        <w:rPr>
          <w:rFonts w:hint="default" w:ascii="Times New Roman" w:hAnsi="Times New Roman" w:eastAsia="楷体" w:cs="Times New Roman"/>
          <w:sz w:val="28"/>
          <w:szCs w:val="28"/>
          <w:lang w:bidi="ar-SA"/>
        </w:rPr>
        <w:t>责任医生签名：                    日期：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rPr>
          <w:rFonts w:hint="eastAsia" w:ascii="方正黑体_GBK" w:hAnsi="方正黑体_GBK" w:eastAsia="方正黑体_GBK" w:cs="方正黑体_GBK"/>
          <w:b w:val="0"/>
          <w:bCs w:val="0"/>
          <w:sz w:val="32"/>
          <w:szCs w:val="32"/>
          <w:lang w:val="en-US" w:eastAsia="zh-CN" w:bidi="ar-SA"/>
        </w:rPr>
      </w:pPr>
    </w:p>
    <w:p>
      <w:pPr>
        <w:rPr>
          <w:rFonts w:hint="eastAsia" w:ascii="方正黑体_GBK" w:hAnsi="方正黑体_GBK" w:eastAsia="方正黑体_GBK" w:cs="方正黑体_GBK"/>
          <w:b w:val="0"/>
          <w:bCs w:val="0"/>
          <w:sz w:val="32"/>
          <w:szCs w:val="32"/>
          <w:lang w:val="en-US" w:eastAsia="zh-CN" w:bidi="ar-SA"/>
        </w:rPr>
      </w:pPr>
      <w:r>
        <w:rPr>
          <w:rFonts w:hint="eastAsia" w:ascii="方正黑体_GBK" w:hAnsi="方正黑体_GBK" w:eastAsia="方正黑体_GBK" w:cs="方正黑体_GBK"/>
          <w:b w:val="0"/>
          <w:bCs w:val="0"/>
          <w:sz w:val="32"/>
          <w:szCs w:val="32"/>
          <w:lang w:val="en-US" w:eastAsia="zh-CN" w:bidi="ar-SA"/>
        </w:rPr>
        <w:t>附：老年人健康教育处方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b/>
          <w:bCs/>
          <w:sz w:val="30"/>
          <w:szCs w:val="30"/>
          <w:lang w:bidi="ar-S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b/>
          <w:bCs/>
          <w:sz w:val="30"/>
          <w:szCs w:val="30"/>
          <w:lang w:eastAsia="zh-CN" w:bidi="ar-SA"/>
        </w:rPr>
      </w:pPr>
      <w:r>
        <w:rPr>
          <w:rFonts w:hint="default" w:ascii="Times New Roman" w:hAnsi="Times New Roman" w:eastAsia="楷体" w:cs="Times New Roman"/>
          <w:b/>
          <w:bCs/>
          <w:sz w:val="30"/>
          <w:szCs w:val="30"/>
          <w:lang w:bidi="ar-SA"/>
        </w:rPr>
        <w:t>1、高血压</w:t>
      </w:r>
      <w:r>
        <w:rPr>
          <w:rFonts w:hint="default" w:ascii="Times New Roman" w:hAnsi="Times New Roman" w:eastAsia="楷体" w:cs="Times New Roman"/>
          <w:b/>
          <w:bCs/>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 xml:space="preserve">保健措施：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（1）注意劳逸结合，保证充足的睡眠。避免过度的脑力和体力负荷，消除紧张情绪，可适当使用少量安定剂。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（2）适当的体育锻炼，有助于高血压恢复正常，但对中、重度高血压患者应避免活动量较大的体育活动。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（3）不吸烟，饮食宜清淡，进食低盐、低脂肪、低胆固醇的食品。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（4）控制体重，肥胖的轻度高血压患者通过减轻体重往往可使血压恢复正常。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（5）对有高血压家族史，而本人血压曾有过增高者，医生的定期随访观察有利于早期发现和早期治疗。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b/>
          <w:bCs/>
          <w:sz w:val="30"/>
          <w:szCs w:val="30"/>
          <w:lang w:bidi="ar-SA"/>
        </w:rPr>
      </w:pPr>
      <w:r>
        <w:rPr>
          <w:rFonts w:hint="default" w:ascii="Times New Roman" w:hAnsi="Times New Roman" w:eastAsia="楷体" w:cs="Times New Roman"/>
          <w:b/>
          <w:bCs/>
          <w:sz w:val="30"/>
          <w:szCs w:val="30"/>
          <w:lang w:bidi="ar-SA"/>
        </w:rPr>
        <w:t>2、糖尿病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保健措施：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（1）保持乐观情绪，认真对待疾病，学会</w:t>
      </w:r>
      <w:r>
        <w:rPr>
          <w:rFonts w:hint="default" w:ascii="Times New Roman" w:hAnsi="Times New Roman" w:eastAsia="楷体" w:cs="Times New Roman"/>
          <w:sz w:val="30"/>
          <w:szCs w:val="30"/>
          <w:lang w:val="en-US" w:eastAsia="zh-CN" w:bidi="ar-SA"/>
        </w:rPr>
        <w:t>血</w:t>
      </w:r>
      <w:r>
        <w:rPr>
          <w:rFonts w:hint="default" w:ascii="Times New Roman" w:hAnsi="Times New Roman" w:eastAsia="楷体" w:cs="Times New Roman"/>
          <w:sz w:val="30"/>
          <w:szCs w:val="30"/>
          <w:lang w:bidi="ar-SA"/>
        </w:rPr>
        <w:t>糖测定，了解病情变化。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（2）控制饮食，限制糖类摄入量，多吃新鲜蔬菜，少食盐油，不宜食果酱、蜜饯、糕点等富含糖食品。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（3）戒烟酒，注意劳逸结合，适当锻炼，避免激烈运动。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（4）运动时携带适量食物，有低血糖反应（如头昏、出冷汗、饥饿感）时服用。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（5）定期复查血糖、尿糖，按医生意见调整治疗方案。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（6）出现发热、视物不清、心悸、昏迷、恶心、呕吐、胸闷、肢体麻木等立即就医。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（7）勤洗澡、多换衣、保持皮肤清洁、防感染、穿软底鞋、防局部受压引起糖尿病足。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b/>
          <w:bCs/>
          <w:sz w:val="30"/>
          <w:szCs w:val="30"/>
          <w:lang w:eastAsia="zh-CN" w:bidi="ar-SA"/>
        </w:rPr>
      </w:pPr>
      <w:r>
        <w:rPr>
          <w:rFonts w:hint="default" w:ascii="Times New Roman" w:hAnsi="Times New Roman" w:eastAsia="楷体" w:cs="Times New Roman"/>
          <w:b/>
          <w:bCs/>
          <w:sz w:val="30"/>
          <w:szCs w:val="30"/>
          <w:lang w:bidi="ar-SA"/>
        </w:rPr>
        <w:t>3、动脉硬化与冠心病</w:t>
      </w:r>
      <w:r>
        <w:rPr>
          <w:rFonts w:hint="default" w:ascii="Times New Roman" w:hAnsi="Times New Roman" w:eastAsia="楷体" w:cs="Times New Roman"/>
          <w:b/>
          <w:bCs/>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保健措施: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（1）合理饮食不要偏食，不宜过量。要控制高胆固醇、高脂肪的食物，多吃素食同时要控制总热量的摄入，限制体重增加。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（2）生活要有规律避免过度的紧张，保持足够的睡眠，培养多种情趣保持情绪稳定，切忌急躁激动或者闷闷不乐。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（3）保持适当的体育锻炼活动增强体质。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（4）多喝茶，据统计不喝茶的冠心病发病率为3.1%，偶尔喝茶的降为2.3%，常喝茶的只有1.4%。</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（5）不吸烟不酗酒，烟可使动脉壁收缩促进动脉粥样硬化，而酗酒易引起情绪激动血压升高。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（6）积极的预防老年慢性病，如高血压、高血脂、糖尿病这些疾病与冠心病的关系比较密切。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（7）预防冠心病</w:t>
      </w:r>
      <w:r>
        <w:rPr>
          <w:rFonts w:hint="default" w:ascii="Times New Roman" w:hAnsi="Times New Roman" w:eastAsia="楷体" w:cs="Times New Roman"/>
          <w:sz w:val="30"/>
          <w:szCs w:val="30"/>
          <w:lang w:eastAsia="zh-CN" w:bidi="ar-SA"/>
        </w:rPr>
        <w:t>，</w:t>
      </w:r>
      <w:r>
        <w:rPr>
          <w:rFonts w:hint="default" w:ascii="Times New Roman" w:hAnsi="Times New Roman" w:eastAsia="楷体" w:cs="Times New Roman"/>
          <w:sz w:val="30"/>
          <w:szCs w:val="30"/>
          <w:lang w:bidi="ar-SA"/>
        </w:rPr>
        <w:t>积极的降压，应该长期的口服降压药。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b/>
          <w:bCs/>
          <w:sz w:val="30"/>
          <w:szCs w:val="30"/>
          <w:lang w:bidi="ar-SA"/>
        </w:rPr>
      </w:pPr>
      <w:r>
        <w:rPr>
          <w:rFonts w:hint="default" w:ascii="Times New Roman" w:hAnsi="Times New Roman" w:eastAsia="楷体" w:cs="Times New Roman"/>
          <w:b/>
          <w:bCs/>
          <w:sz w:val="30"/>
          <w:szCs w:val="30"/>
          <w:lang w:bidi="ar-SA"/>
        </w:rPr>
        <w:t>4、肥  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保健措施：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（1）由于某种原因使体内脂肪过分堆积而造成体重超过标准体重的 20%以上称之为肥胖，（超20%～30%轻度肥胖，超30%～40%中度肥胖，50%为重度肥胖）。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（2）发现肥胖情况，应先行体格检查，排除因其他疾病引起的肥胖。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（3）必须控制进食量，进食低脂、低胆固醇饮食，碳水化合物亦必须适当控制。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（4）最好的减肥方法莫过于维持能量的进出平衡。肥胖者更应坚持体力劳动和体育锻炼以增加热能的消耗。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（5）对所谓减肥药物应该在医生指导下慎重选用。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（6）肥胖的“危险性”与高血压、高脂血症、冠心病、糖尿病、胆囊疾病预后有着密切的关系，肥胖是不健康的标志，故应予以重视。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b/>
          <w:bCs/>
          <w:sz w:val="30"/>
          <w:szCs w:val="30"/>
          <w:lang w:bidi="ar-SA"/>
        </w:rPr>
      </w:pPr>
      <w:r>
        <w:rPr>
          <w:rFonts w:hint="default" w:ascii="Times New Roman" w:hAnsi="Times New Roman" w:eastAsia="楷体" w:cs="Times New Roman"/>
          <w:b/>
          <w:bCs/>
          <w:sz w:val="30"/>
          <w:szCs w:val="30"/>
          <w:lang w:bidi="ar-SA"/>
        </w:rPr>
        <w:t>5、骨质疏松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保健措施: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（1）保证饮食中含有足够的钙质，多吃奶类、豆类及其制品。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（2）限制饮酒量并戒烟，限饮咖啡、浓茶。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（3）适当增加户外活动，经常晒太阳。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（4）适当参加体育锻炼，循序渐进增加运动量，常做有氧运动，如慢跑、骑自行车等。每周3</w:t>
      </w:r>
      <w:r>
        <w:rPr>
          <w:rFonts w:hint="default" w:ascii="Times New Roman" w:hAnsi="Times New Roman" w:eastAsia="楷体" w:cs="Times New Roman"/>
          <w:sz w:val="30"/>
          <w:szCs w:val="30"/>
          <w:lang w:val="en-US" w:eastAsia="zh-CN" w:bidi="ar-SA"/>
        </w:rPr>
        <w:t>-</w:t>
      </w:r>
      <w:r>
        <w:rPr>
          <w:rFonts w:hint="default" w:ascii="Times New Roman" w:hAnsi="Times New Roman" w:eastAsia="楷体" w:cs="Times New Roman"/>
          <w:sz w:val="30"/>
          <w:szCs w:val="30"/>
          <w:lang w:bidi="ar-SA"/>
        </w:rPr>
        <w:t>4 次，每次 15</w:t>
      </w:r>
      <w:r>
        <w:rPr>
          <w:rFonts w:hint="default" w:ascii="Times New Roman" w:hAnsi="Times New Roman" w:eastAsia="楷体" w:cs="Times New Roman"/>
          <w:sz w:val="30"/>
          <w:szCs w:val="30"/>
          <w:lang w:val="en-US" w:eastAsia="zh-CN" w:bidi="ar-SA"/>
        </w:rPr>
        <w:t>-</w:t>
      </w:r>
      <w:r>
        <w:rPr>
          <w:rFonts w:hint="default" w:ascii="Times New Roman" w:hAnsi="Times New Roman" w:eastAsia="楷体" w:cs="Times New Roman"/>
          <w:sz w:val="30"/>
          <w:szCs w:val="30"/>
          <w:lang w:bidi="ar-SA"/>
        </w:rPr>
        <w:t>30 分钟。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（5）已绝经的妇女可在医生指导下服用少量雌激素，遵照医嘱服用维生素D、钙剂及其他药物，老年人要慎用利尿剂、异烟肼、强的松等药物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（6）防止各种意外伤害，尤其要防止跌倒。</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b/>
          <w:bCs/>
          <w:sz w:val="30"/>
          <w:szCs w:val="30"/>
          <w:lang w:bidi="ar-SA"/>
        </w:rPr>
      </w:pPr>
      <w:r>
        <w:rPr>
          <w:rFonts w:hint="default" w:ascii="Times New Roman" w:hAnsi="Times New Roman" w:eastAsia="楷体" w:cs="Times New Roman"/>
          <w:b/>
          <w:bCs/>
          <w:sz w:val="30"/>
          <w:szCs w:val="30"/>
          <w:lang w:bidi="ar-SA"/>
        </w:rPr>
        <w:t>6、风湿性关节炎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保健措施：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（1）建立预防风湿病的技能，根据气候变化增减衣服,  淋雨、出汗后要更换衣服，避免上呼吸道感染、关节受湿、受凉及超负荷运动。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（2）要树立战胜疾病信心，保持良好心态，有利于疾病恢复。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（3）急性期应卧床休息，医生指导下用消炎镇痛、怯风除湿等</w:t>
      </w:r>
      <w:r>
        <w:rPr>
          <w:rFonts w:hint="default" w:ascii="Times New Roman" w:hAnsi="Times New Roman" w:eastAsia="楷体" w:cs="Times New Roman"/>
          <w:sz w:val="30"/>
          <w:szCs w:val="30"/>
          <w:lang w:val="en-US" w:eastAsia="zh-CN" w:bidi="ar-SA"/>
        </w:rPr>
        <w:t>药物</w:t>
      </w:r>
      <w:r>
        <w:rPr>
          <w:rFonts w:hint="default" w:ascii="Times New Roman" w:hAnsi="Times New Roman" w:eastAsia="楷体" w:cs="Times New Roman"/>
          <w:sz w:val="30"/>
          <w:szCs w:val="30"/>
          <w:lang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（4）饮食应补充足够的水份与热能，注重丰富蛋白质、碳水化合物、维生素、钙、铁等营养素的摄取。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 w:cs="Times New Roman"/>
          <w:sz w:val="30"/>
          <w:szCs w:val="30"/>
          <w:lang w:bidi="ar-SA"/>
        </w:rPr>
      </w:pPr>
      <w:r>
        <w:rPr>
          <w:rFonts w:hint="default" w:ascii="Times New Roman" w:hAnsi="Times New Roman" w:eastAsia="楷体" w:cs="Times New Roman"/>
          <w:sz w:val="30"/>
          <w:szCs w:val="30"/>
          <w:lang w:bidi="ar-SA"/>
        </w:rPr>
        <w:t>（5）对于肿胀的关节，可用轻质夹板固定，以防关节挛缩变形，减轻疼痛，促进炎症消退。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楷体" w:cs="Times New Roman"/>
          <w:sz w:val="30"/>
          <w:szCs w:val="30"/>
          <w:lang w:bidi="ar-SA"/>
        </w:rPr>
        <w:t>（6）恢复期间要进行适当的体育与关节功能锻炼。</w:t>
      </w:r>
      <w:r>
        <w:rPr>
          <w:rFonts w:hint="default" w:ascii="Times New Roman" w:hAnsi="Times New Roman" w:eastAsia="方正仿宋_GBK" w:cs="Times New Roman"/>
          <w:sz w:val="30"/>
          <w:szCs w:val="30"/>
          <w:lang w:val="en-US" w:eastAsia="zh-CN"/>
        </w:rPr>
        <w:t xml:space="preserve">   </w:t>
      </w:r>
    </w:p>
    <w:p>
      <w:pPr>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br w:type="page"/>
      </w:r>
    </w:p>
    <w:p>
      <w:pPr>
        <w:pStyle w:val="2"/>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kern w:val="2"/>
          <w:sz w:val="44"/>
          <w:szCs w:val="44"/>
          <w:lang w:val="en-US" w:eastAsia="zh-CN" w:bidi="ar-SA"/>
        </w:rPr>
        <w:t>宿迁市65岁及以上老年人健康管理</w:t>
      </w:r>
      <w:r>
        <w:rPr>
          <w:rFonts w:hint="default" w:ascii="Times New Roman" w:hAnsi="Times New Roman" w:eastAsia="方正小标宋_GBK" w:cs="Times New Roman"/>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工作组及技术指导组名单</w:t>
      </w:r>
    </w:p>
    <w:p>
      <w:pPr>
        <w:pStyle w:val="2"/>
        <w:rPr>
          <w:rFonts w:hint="default" w:ascii="Times New Roman" w:hAnsi="Times New Roman" w:eastAsia="方正小标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kern w:val="2"/>
          <w:sz w:val="32"/>
          <w:szCs w:val="32"/>
          <w:lang w:val="en-US" w:eastAsia="zh-CN" w:bidi="ar-SA"/>
        </w:rPr>
        <w:t>65岁及以上老年人健康管理</w:t>
      </w:r>
      <w:r>
        <w:rPr>
          <w:rFonts w:hint="eastAsia" w:ascii="方正仿宋_GBK" w:hAnsi="方正仿宋_GBK" w:eastAsia="方正仿宋_GBK" w:cs="方正仿宋_GBK"/>
          <w:spacing w:val="0"/>
          <w:sz w:val="32"/>
          <w:szCs w:val="32"/>
          <w:lang w:val="en-US" w:eastAsia="zh-CN"/>
        </w:rPr>
        <w:t>项目工作组</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组长：李春美　市卫健委二级调研员</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组员：丁冬菊　市卫健委老龄健康处处长</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徐  展　市卫健委医政医管处科员</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汤馨德　市卫健委老龄健康处科员</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汤晓波　市卫健委基层卫生健康处科员</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孙  杨　市卫生信息中心科员</w:t>
      </w:r>
    </w:p>
    <w:p>
      <w:pPr>
        <w:pStyle w:val="2"/>
        <w:rPr>
          <w:rFonts w:hint="eastAsia"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kern w:val="2"/>
          <w:sz w:val="32"/>
          <w:szCs w:val="32"/>
          <w:lang w:val="en-US" w:eastAsia="zh-CN" w:bidi="ar-SA"/>
        </w:rPr>
        <w:t>65岁及以上老年人健康管理</w:t>
      </w:r>
      <w:r>
        <w:rPr>
          <w:rFonts w:hint="eastAsia" w:ascii="方正仿宋_GBK" w:hAnsi="方正仿宋_GBK" w:eastAsia="方正仿宋_GBK" w:cs="方正仿宋_GBK"/>
          <w:spacing w:val="0"/>
          <w:sz w:val="32"/>
          <w:szCs w:val="32"/>
          <w:lang w:val="en-US" w:eastAsia="zh-CN"/>
        </w:rPr>
        <w:t>项目技术指导组</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组长：文  燕　市第一人民医院老年医学科主任</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组员：金  薇　南京鼓楼医院集团宿迁医院健康管理中心主任</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朱  斌　市疾病预防控制中心政工师</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刘小青　市疾病预防控制中心主治医师</w:t>
      </w:r>
    </w:p>
    <w:p>
      <w:pPr>
        <w:pStyle w:val="2"/>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裴  兵　市</w:t>
      </w:r>
      <w:r>
        <w:rPr>
          <w:rFonts w:hint="eastAsia" w:ascii="方正仿宋_GBK" w:hAnsi="方正仿宋_GBK" w:eastAsia="方正仿宋_GBK" w:cs="方正仿宋_GBK"/>
          <w:spacing w:val="-11"/>
          <w:sz w:val="32"/>
          <w:szCs w:val="32"/>
          <w:lang w:val="en-US" w:eastAsia="zh-CN"/>
        </w:rPr>
        <w:t>临床检验中心主任、市第一人民医院检验科主任</w:t>
      </w:r>
    </w:p>
    <w:p>
      <w:pPr>
        <w:pStyle w:val="2"/>
        <w:ind w:firstLine="960" w:firstLineChars="300"/>
        <w:rPr>
          <w:rFonts w:hint="eastAsia" w:ascii="方正仿宋_GBK" w:hAnsi="方正仿宋_GBK" w:eastAsia="方正仿宋_GBK" w:cs="方正仿宋_GBK"/>
          <w:spacing w:val="-11"/>
          <w:sz w:val="32"/>
          <w:szCs w:val="32"/>
          <w:lang w:val="en-US" w:eastAsia="zh-CN"/>
        </w:rPr>
      </w:pPr>
      <w:r>
        <w:rPr>
          <w:rFonts w:hint="eastAsia" w:ascii="方正仿宋_GBK" w:hAnsi="方正仿宋_GBK" w:eastAsia="方正仿宋_GBK" w:cs="方正仿宋_GBK"/>
          <w:spacing w:val="0"/>
          <w:sz w:val="32"/>
          <w:szCs w:val="32"/>
          <w:lang w:val="en-US" w:eastAsia="zh-CN"/>
        </w:rPr>
        <w:t>刘东声　南</w:t>
      </w:r>
      <w:r>
        <w:rPr>
          <w:rFonts w:hint="eastAsia" w:ascii="方正仿宋_GBK" w:hAnsi="方正仿宋_GBK" w:eastAsia="方正仿宋_GBK" w:cs="方正仿宋_GBK"/>
          <w:spacing w:val="-11"/>
          <w:sz w:val="32"/>
          <w:szCs w:val="32"/>
          <w:lang w:val="en-US" w:eastAsia="zh-CN"/>
        </w:rPr>
        <w:t>京鼓楼医院集团宿迁医院院长助理、检验科主任</w:t>
      </w: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p>
    <w:sectPr>
      <w:pgSz w:w="11906" w:h="16838"/>
      <w:pgMar w:top="2098" w:right="1531" w:bottom="1757"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5459"/>
    <w:multiLevelType w:val="singleLevel"/>
    <w:tmpl w:val="12C45459"/>
    <w:lvl w:ilvl="0" w:tentative="0">
      <w:start w:val="2"/>
      <w:numFmt w:val="decimal"/>
      <w:lvlText w:val="%1."/>
      <w:lvlJc w:val="left"/>
      <w:pPr>
        <w:tabs>
          <w:tab w:val="left" w:pos="312"/>
        </w:tabs>
      </w:pPr>
    </w:lvl>
  </w:abstractNum>
  <w:abstractNum w:abstractNumId="1">
    <w:nsid w:val="3741C276"/>
    <w:multiLevelType w:val="singleLevel"/>
    <w:tmpl w:val="3741C276"/>
    <w:lvl w:ilvl="0" w:tentative="0">
      <w:start w:val="1"/>
      <w:numFmt w:val="chineseCounting"/>
      <w:suff w:val="nothing"/>
      <w:lvlText w:val="%1、"/>
      <w:lvlJc w:val="left"/>
      <w:rPr>
        <w:rFonts w:hint="eastAsia"/>
      </w:rPr>
    </w:lvl>
  </w:abstractNum>
  <w:abstractNum w:abstractNumId="2">
    <w:nsid w:val="7C248876"/>
    <w:multiLevelType w:val="singleLevel"/>
    <w:tmpl w:val="7C248876"/>
    <w:lvl w:ilvl="0" w:tentative="0">
      <w:start w:val="1"/>
      <w:numFmt w:val="chineseCounting"/>
      <w:suff w:val="nothing"/>
      <w:lvlText w:val="%1、"/>
      <w:lvlJc w:val="left"/>
      <w:pPr>
        <w:ind w:left="-1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70324"/>
    <w:rsid w:val="00D40F2C"/>
    <w:rsid w:val="034E21D2"/>
    <w:rsid w:val="058019F9"/>
    <w:rsid w:val="0AC12EC7"/>
    <w:rsid w:val="0AD20483"/>
    <w:rsid w:val="0AF5550A"/>
    <w:rsid w:val="0C62437F"/>
    <w:rsid w:val="0D922197"/>
    <w:rsid w:val="0E2F0EA8"/>
    <w:rsid w:val="0E306F6D"/>
    <w:rsid w:val="0ED64AEB"/>
    <w:rsid w:val="0F436C53"/>
    <w:rsid w:val="0F4D43F7"/>
    <w:rsid w:val="0F74784D"/>
    <w:rsid w:val="11962FFE"/>
    <w:rsid w:val="12400914"/>
    <w:rsid w:val="161972A8"/>
    <w:rsid w:val="16832DDE"/>
    <w:rsid w:val="16AD6CE2"/>
    <w:rsid w:val="17B3556C"/>
    <w:rsid w:val="190F7225"/>
    <w:rsid w:val="1A4F145C"/>
    <w:rsid w:val="1AFB207D"/>
    <w:rsid w:val="1D882C4D"/>
    <w:rsid w:val="1DBD559E"/>
    <w:rsid w:val="1E1F05F2"/>
    <w:rsid w:val="1ECB38D8"/>
    <w:rsid w:val="208B7475"/>
    <w:rsid w:val="21847AE0"/>
    <w:rsid w:val="22397E46"/>
    <w:rsid w:val="232806BD"/>
    <w:rsid w:val="2434567D"/>
    <w:rsid w:val="28494AF1"/>
    <w:rsid w:val="29861468"/>
    <w:rsid w:val="2AA20BD6"/>
    <w:rsid w:val="2B220BAF"/>
    <w:rsid w:val="2BE311A7"/>
    <w:rsid w:val="2CB86E6F"/>
    <w:rsid w:val="2CC15805"/>
    <w:rsid w:val="2CDE26DA"/>
    <w:rsid w:val="2CF4042E"/>
    <w:rsid w:val="2DA35F6C"/>
    <w:rsid w:val="31260750"/>
    <w:rsid w:val="319F3F81"/>
    <w:rsid w:val="32EA26EB"/>
    <w:rsid w:val="33BB61F5"/>
    <w:rsid w:val="33DD5309"/>
    <w:rsid w:val="35031A64"/>
    <w:rsid w:val="352568B8"/>
    <w:rsid w:val="35C65A68"/>
    <w:rsid w:val="3634517D"/>
    <w:rsid w:val="36882FA0"/>
    <w:rsid w:val="387712E8"/>
    <w:rsid w:val="38CB309E"/>
    <w:rsid w:val="39173BF9"/>
    <w:rsid w:val="3B9777E8"/>
    <w:rsid w:val="3CA62B08"/>
    <w:rsid w:val="3D202EC4"/>
    <w:rsid w:val="3E261CDD"/>
    <w:rsid w:val="3EAD38DC"/>
    <w:rsid w:val="42AB671D"/>
    <w:rsid w:val="42FD51F3"/>
    <w:rsid w:val="45362C5C"/>
    <w:rsid w:val="45E443B9"/>
    <w:rsid w:val="4A5D274D"/>
    <w:rsid w:val="4B3B5028"/>
    <w:rsid w:val="4BDD71AB"/>
    <w:rsid w:val="4C6C1D59"/>
    <w:rsid w:val="4F717F46"/>
    <w:rsid w:val="532A4E98"/>
    <w:rsid w:val="542D29F9"/>
    <w:rsid w:val="54F54207"/>
    <w:rsid w:val="5710650D"/>
    <w:rsid w:val="5755521C"/>
    <w:rsid w:val="57F82B41"/>
    <w:rsid w:val="58D03267"/>
    <w:rsid w:val="59870324"/>
    <w:rsid w:val="5AA45816"/>
    <w:rsid w:val="5AFA301B"/>
    <w:rsid w:val="5AFA6126"/>
    <w:rsid w:val="5D78759C"/>
    <w:rsid w:val="5ED83DCA"/>
    <w:rsid w:val="5F096723"/>
    <w:rsid w:val="60D47E13"/>
    <w:rsid w:val="6304408A"/>
    <w:rsid w:val="647704B6"/>
    <w:rsid w:val="65C26C1C"/>
    <w:rsid w:val="67D877B3"/>
    <w:rsid w:val="681F63F1"/>
    <w:rsid w:val="6880148E"/>
    <w:rsid w:val="698C31E1"/>
    <w:rsid w:val="6DA14AF1"/>
    <w:rsid w:val="6E5F7A18"/>
    <w:rsid w:val="6E99060B"/>
    <w:rsid w:val="718B0F98"/>
    <w:rsid w:val="72FF10D0"/>
    <w:rsid w:val="781A475F"/>
    <w:rsid w:val="78E52E71"/>
    <w:rsid w:val="790C4379"/>
    <w:rsid w:val="796A2DCB"/>
    <w:rsid w:val="799856E5"/>
    <w:rsid w:val="7E893097"/>
    <w:rsid w:val="7F254859"/>
    <w:rsid w:val="7FFB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 Spacing"/>
    <w:qFormat/>
    <w:uiPriority w:val="1"/>
    <w:pPr>
      <w:adjustRightInd w:val="0"/>
      <w:snapToGrid w:val="0"/>
    </w:pPr>
    <w:rPr>
      <w:rFonts w:ascii="Tahoma" w:hAnsi="Tahoma" w:eastAsia="宋体" w:cs="Times New Roman"/>
      <w:sz w:val="22"/>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2022-01-24T01:52:00Z</dcterms:created>
  <dc:creator>丁冬</dc:creator>
  <cp:lastModifiedBy>gzh</cp:lastModifiedBy>
  <cp:lastPrinted>2022-01-30T08:09:00Z</cp:lastPrinted>
  <dcterms:modified xsi:type="dcterms:W3CDTF">2022-01-30T08:51:35Z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84B6C99D72A041D2BFA4611281ABB735</vt:lpwstr>
  </property>
  <property fmtid="{D5CDD505-2E9C-101B-9397-08002B2CF9AE}" pid="4" name="KSOSaveFontToCloudKey">
    <vt:lpwstr>353862880_cloud</vt:lpwstr>
  </property>
</Properties>
</file>